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both"/>
        <w:rPr>
          <w:rFonts w:ascii="Times New Roman" w:hAnsi="Times New Roman"/>
          <w:b/>
          <w:bCs/>
          <w:color w:val="auto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 w:eastAsia="黑体"/>
          <w:b/>
          <w:bCs/>
          <w:color w:val="auto"/>
          <w:sz w:val="32"/>
          <w:szCs w:val="32"/>
        </w:rPr>
        <w:t>应用统计学专业人才培养</w:t>
      </w:r>
      <w:bookmarkStart w:id="0" w:name="_GoBack"/>
      <w:bookmarkEnd w:id="0"/>
      <w:r>
        <w:rPr>
          <w:rFonts w:ascii="Times New Roman" w:hAnsi="Times New Roman" w:eastAsia="黑体"/>
          <w:b/>
          <w:bCs/>
          <w:color w:val="auto"/>
          <w:sz w:val="32"/>
          <w:szCs w:val="32"/>
        </w:rPr>
        <w:t>方案</w:t>
      </w:r>
      <w:r>
        <w:rPr>
          <w:rFonts w:hint="default" w:ascii="Times New Roman" w:hAnsi="Times New Roman" w:eastAsia="黑体"/>
          <w:b/>
          <w:bCs/>
          <w:color w:val="auto"/>
          <w:sz w:val="32"/>
          <w:szCs w:val="32"/>
        </w:rPr>
        <w:t>（2023版）</w:t>
      </w:r>
    </w:p>
    <w:p>
      <w:pPr>
        <w:adjustRightInd w:val="0"/>
        <w:snapToGrid w:val="0"/>
        <w:spacing w:line="360" w:lineRule="auto"/>
        <w:ind w:firstLine="472" w:firstLineChars="196"/>
        <w:rPr>
          <w:rFonts w:ascii="Times New Roman" w:hAnsi="Times New Roman" w:eastAsia="楷体_GB2312"/>
          <w:color w:val="auto"/>
          <w:sz w:val="24"/>
        </w:rPr>
      </w:pPr>
      <w:r>
        <w:rPr>
          <w:rFonts w:ascii="Times New Roman" w:hAnsi="Times New Roman" w:eastAsia="黑体"/>
          <w:b/>
          <w:bCs/>
          <w:color w:val="auto"/>
          <w:sz w:val="24"/>
        </w:rPr>
        <w:t>一、专业属性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专业名称：应用统计学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专业代码：</w:t>
      </w:r>
      <w:r>
        <w:rPr>
          <w:rFonts w:ascii="宋体" w:hAnsi="宋体" w:eastAsia="宋体"/>
          <w:color w:val="auto"/>
          <w:sz w:val="24"/>
        </w:rPr>
        <w:t>071202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学科门类：理学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专 业 类：统计学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黑体"/>
          <w:b/>
          <w:bCs/>
          <w:color w:val="auto"/>
          <w:sz w:val="24"/>
        </w:rPr>
      </w:pPr>
      <w:r>
        <w:rPr>
          <w:rFonts w:ascii="Times New Roman" w:hAnsi="Times New Roman" w:eastAsia="黑体"/>
          <w:b/>
          <w:bCs/>
          <w:color w:val="auto"/>
          <w:sz w:val="24"/>
        </w:rPr>
        <w:t>培养目标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color w:val="auto"/>
          <w:kern w:val="0"/>
          <w:sz w:val="24"/>
        </w:rPr>
      </w:pPr>
      <w:r>
        <w:rPr>
          <w:rFonts w:ascii="Times New Roman" w:hAnsi="Times New Roman"/>
          <w:color w:val="auto"/>
          <w:sz w:val="24"/>
          <w:szCs w:val="24"/>
        </w:rPr>
        <w:t>本专业立足</w:t>
      </w:r>
      <w:r>
        <w:rPr>
          <w:rFonts w:hint="eastAsia" w:ascii="Times New Roman" w:hAnsi="Times New Roman"/>
          <w:color w:val="auto"/>
          <w:sz w:val="24"/>
          <w:szCs w:val="24"/>
        </w:rPr>
        <w:t>景德镇、服务</w:t>
      </w:r>
      <w:r>
        <w:rPr>
          <w:rFonts w:ascii="Times New Roman" w:hAnsi="Times New Roman"/>
          <w:color w:val="auto"/>
          <w:sz w:val="24"/>
          <w:szCs w:val="24"/>
        </w:rPr>
        <w:t>江西、面向全国，培养德、智、体、美</w:t>
      </w:r>
      <w:r>
        <w:rPr>
          <w:rFonts w:hint="eastAsia" w:ascii="Times New Roman" w:hAnsi="Times New Roman"/>
          <w:color w:val="auto"/>
          <w:sz w:val="24"/>
          <w:szCs w:val="24"/>
        </w:rPr>
        <w:t>、劳</w:t>
      </w:r>
      <w:r>
        <w:rPr>
          <w:rFonts w:ascii="Times New Roman" w:hAnsi="Times New Roman"/>
          <w:color w:val="auto"/>
          <w:sz w:val="24"/>
          <w:szCs w:val="24"/>
        </w:rPr>
        <w:t>全面发展，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掌握统计学基本理论和方法，具有扎实的数学、经济学和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计算机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科学理论基础，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能够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运用统计方法和统计软件分析解决金融与经济、大数据、社会等方面的实际应用问题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/>
        </w:rPr>
        <w:t>。</w:t>
      </w:r>
      <w:r>
        <w:rPr>
          <w:rFonts w:hint="eastAsia"/>
          <w:color w:val="auto"/>
          <w:kern w:val="0"/>
          <w:sz w:val="24"/>
          <w:lang w:val="en-US" w:eastAsia="zh-CN"/>
        </w:rPr>
        <w:t>毕业后</w:t>
      </w:r>
      <w:r>
        <w:rPr>
          <w:rFonts w:hint="eastAsia" w:ascii="Times New Roman" w:hAnsi="Times New Roman"/>
          <w:color w:val="auto"/>
          <w:sz w:val="24"/>
          <w:szCs w:val="24"/>
        </w:rPr>
        <w:t>能在政府统计部门、经济管理部门、金融机构、信息咨询公司、大型企业部门从事统计调查、统计信息管理和分析、数据挖掘</w:t>
      </w:r>
      <w:r>
        <w:rPr>
          <w:rFonts w:hint="eastAsia" w:ascii="Times New Roman" w:hAnsi="Times New Roman"/>
          <w:color w:val="auto"/>
          <w:sz w:val="24"/>
          <w:szCs w:val="24"/>
          <w:lang w:eastAsia="zh-CN"/>
        </w:rPr>
        <w:t>、</w:t>
      </w:r>
      <w:r>
        <w:rPr>
          <w:color w:val="auto"/>
          <w:sz w:val="24"/>
        </w:rPr>
        <w:t>大数据处理与开发</w:t>
      </w:r>
      <w:r>
        <w:rPr>
          <w:rFonts w:hint="eastAsia" w:ascii="Times New Roman" w:hAnsi="Times New Roman"/>
          <w:color w:val="auto"/>
          <w:sz w:val="24"/>
          <w:szCs w:val="24"/>
        </w:rPr>
        <w:t>等</w:t>
      </w:r>
      <w:r>
        <w:rPr>
          <w:rFonts w:ascii="Times New Roman" w:hAnsi="Times New Roman"/>
          <w:color w:val="auto"/>
          <w:sz w:val="24"/>
          <w:szCs w:val="24"/>
        </w:rPr>
        <w:t>工作的高素质应用型人才。</w:t>
      </w:r>
      <w:r>
        <w:rPr>
          <w:rFonts w:hint="eastAsia"/>
          <w:color w:val="auto"/>
          <w:kern w:val="0"/>
          <w:sz w:val="24"/>
          <w:lang w:val="en-US" w:eastAsia="zh-CN"/>
        </w:rPr>
        <w:t>本专业毕业生通过 5 年的工作实践，逐步实现以下培养目标: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hint="eastAsia"/>
          <w:color w:val="auto"/>
          <w:kern w:val="0"/>
          <w:sz w:val="24"/>
        </w:rPr>
        <w:t>目标 1：</w:t>
      </w:r>
      <w:r>
        <w:rPr>
          <w:rFonts w:hint="eastAsia" w:ascii="Times New Roman" w:hAnsi="Times New Roman"/>
          <w:color w:val="auto"/>
          <w:sz w:val="24"/>
        </w:rPr>
        <w:t>具有良好的思想素质、文化修养、社会道德，具有可持续发展的价值观和社会责任感；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kern w:val="0"/>
          <w:sz w:val="24"/>
        </w:rPr>
        <w:t xml:space="preserve">目标 </w:t>
      </w:r>
      <w:r>
        <w:rPr>
          <w:rFonts w:hint="eastAsia"/>
          <w:color w:val="auto"/>
          <w:kern w:val="0"/>
          <w:sz w:val="24"/>
          <w:lang w:val="en-US" w:eastAsia="zh-CN"/>
        </w:rPr>
        <w:t>2</w:t>
      </w:r>
      <w:r>
        <w:rPr>
          <w:rFonts w:hint="eastAsia"/>
          <w:color w:val="auto"/>
          <w:kern w:val="0"/>
          <w:sz w:val="24"/>
        </w:rPr>
        <w:t>：</w:t>
      </w:r>
      <w:r>
        <w:rPr>
          <w:rFonts w:hint="eastAsia" w:ascii="Times New Roman" w:hAnsi="Times New Roman"/>
          <w:color w:val="auto"/>
          <w:sz w:val="24"/>
        </w:rPr>
        <w:t>具有实事求是的工作态度和严谨务实的科学精神，</w:t>
      </w:r>
      <w:r>
        <w:rPr>
          <w:rFonts w:hint="eastAsia"/>
          <w:color w:val="auto"/>
          <w:kern w:val="0"/>
          <w:sz w:val="24"/>
        </w:rPr>
        <w:t>具备</w:t>
      </w:r>
      <w:r>
        <w:rPr>
          <w:rFonts w:hint="eastAsia"/>
          <w:color w:val="auto"/>
          <w:kern w:val="0"/>
          <w:sz w:val="24"/>
          <w:lang w:val="en-US" w:eastAsia="zh-CN"/>
        </w:rPr>
        <w:t>一定</w:t>
      </w:r>
      <w:r>
        <w:rPr>
          <w:rFonts w:hint="eastAsia"/>
          <w:color w:val="auto"/>
          <w:kern w:val="0"/>
          <w:sz w:val="24"/>
        </w:rPr>
        <w:t>的创新意识、</w:t>
      </w:r>
      <w:r>
        <w:rPr>
          <w:rFonts w:hint="eastAsia"/>
          <w:color w:val="auto"/>
          <w:kern w:val="0"/>
          <w:sz w:val="24"/>
          <w:lang w:val="en-US" w:eastAsia="zh-CN"/>
        </w:rPr>
        <w:t>分析</w:t>
      </w:r>
      <w:r>
        <w:rPr>
          <w:rFonts w:hint="eastAsia"/>
          <w:color w:val="auto"/>
          <w:kern w:val="0"/>
          <w:sz w:val="24"/>
        </w:rPr>
        <w:t>能力</w:t>
      </w:r>
      <w:r>
        <w:rPr>
          <w:rFonts w:hint="eastAsia"/>
          <w:color w:val="auto"/>
          <w:kern w:val="0"/>
          <w:sz w:val="24"/>
          <w:lang w:val="en-US" w:eastAsia="zh-CN"/>
        </w:rPr>
        <w:t>和自主学习能力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hint="eastAsia" w:ascii="Times New Roman" w:hAnsi="Times New Roman"/>
          <w:color w:val="auto"/>
          <w:sz w:val="24"/>
          <w:lang w:val="en-US" w:eastAsia="zh-CN"/>
        </w:rPr>
        <w:t>目标 3：</w:t>
      </w:r>
      <w:r>
        <w:rPr>
          <w:rFonts w:hint="eastAsia"/>
          <w:color w:val="auto"/>
          <w:kern w:val="0"/>
          <w:sz w:val="24"/>
        </w:rPr>
        <w:t>系统掌握基础科学、</w:t>
      </w:r>
      <w:r>
        <w:rPr>
          <w:rFonts w:hint="eastAsia"/>
          <w:color w:val="auto"/>
          <w:kern w:val="0"/>
          <w:sz w:val="24"/>
          <w:lang w:val="en-US" w:eastAsia="zh-CN"/>
        </w:rPr>
        <w:t>应用统计</w:t>
      </w:r>
      <w:r>
        <w:rPr>
          <w:rFonts w:hint="eastAsia"/>
          <w:color w:val="auto"/>
          <w:kern w:val="0"/>
          <w:sz w:val="24"/>
        </w:rPr>
        <w:t>的基本理论和基本技能，</w:t>
      </w:r>
      <w:r>
        <w:rPr>
          <w:rFonts w:hint="eastAsia" w:ascii="Times New Roman" w:hAnsi="Times New Roman"/>
          <w:color w:val="auto"/>
          <w:sz w:val="24"/>
        </w:rPr>
        <w:t>能在应用统计学相关领域，较熟练进行统计调查、统计信息管理、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分析</w:t>
      </w:r>
      <w:r>
        <w:rPr>
          <w:rFonts w:hint="eastAsia" w:ascii="Times New Roman" w:hAnsi="Times New Roman"/>
          <w:color w:val="auto"/>
          <w:sz w:val="24"/>
        </w:rPr>
        <w:t>分析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及模型构建</w:t>
      </w:r>
      <w:r>
        <w:rPr>
          <w:rFonts w:hint="eastAsia" w:ascii="Times New Roman" w:hAnsi="Times New Roman"/>
          <w:color w:val="auto"/>
          <w:sz w:val="24"/>
        </w:rPr>
        <w:t>、应用和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数据</w:t>
      </w:r>
      <w:r>
        <w:rPr>
          <w:rFonts w:hint="eastAsia" w:ascii="Times New Roman" w:hAnsi="Times New Roman"/>
          <w:color w:val="auto"/>
          <w:sz w:val="24"/>
        </w:rPr>
        <w:t>管理工作，具有运用统计学方法去分析、解决实际问题的能力；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hint="eastAsia"/>
          <w:color w:val="auto"/>
          <w:kern w:val="0"/>
          <w:sz w:val="24"/>
        </w:rPr>
        <w:t xml:space="preserve">目标 </w:t>
      </w:r>
      <w:r>
        <w:rPr>
          <w:rFonts w:hint="eastAsia"/>
          <w:color w:val="auto"/>
          <w:kern w:val="0"/>
          <w:sz w:val="24"/>
          <w:lang w:val="en-US" w:eastAsia="zh-CN"/>
        </w:rPr>
        <w:t>4</w:t>
      </w:r>
      <w:r>
        <w:rPr>
          <w:rFonts w:hint="eastAsia"/>
          <w:color w:val="auto"/>
          <w:kern w:val="0"/>
          <w:sz w:val="24"/>
        </w:rPr>
        <w:t>：</w:t>
      </w:r>
      <w:r>
        <w:rPr>
          <w:rFonts w:hint="eastAsia" w:ascii="Times New Roman" w:hAnsi="Times New Roman"/>
          <w:color w:val="auto"/>
          <w:sz w:val="24"/>
        </w:rPr>
        <w:t>具有良好的团队交流能力，能够组织和参与实施应用统计学、大数据或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社会经济</w:t>
      </w:r>
      <w:r>
        <w:rPr>
          <w:rFonts w:hint="eastAsia" w:ascii="Times New Roman" w:hAnsi="Times New Roman"/>
          <w:color w:val="auto"/>
          <w:sz w:val="24"/>
        </w:rPr>
        <w:t>相关领域的项目；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黑体"/>
          <w:b/>
          <w:bCs/>
          <w:color w:val="auto"/>
          <w:sz w:val="24"/>
        </w:rPr>
      </w:pPr>
      <w:r>
        <w:rPr>
          <w:rFonts w:hint="eastAsia"/>
          <w:color w:val="auto"/>
          <w:kern w:val="0"/>
          <w:sz w:val="24"/>
        </w:rPr>
        <w:t xml:space="preserve">目标 </w:t>
      </w:r>
      <w:r>
        <w:rPr>
          <w:rFonts w:hint="eastAsia"/>
          <w:color w:val="auto"/>
          <w:kern w:val="0"/>
          <w:sz w:val="24"/>
          <w:lang w:val="en-US" w:eastAsia="zh-CN"/>
        </w:rPr>
        <w:t>5</w:t>
      </w:r>
      <w:r>
        <w:rPr>
          <w:rFonts w:hint="eastAsia"/>
          <w:color w:val="auto"/>
          <w:kern w:val="0"/>
          <w:sz w:val="24"/>
        </w:rPr>
        <w:t>：</w:t>
      </w:r>
      <w:r>
        <w:rPr>
          <w:rFonts w:hint="eastAsia" w:ascii="Times New Roman" w:hAnsi="Times New Roman"/>
          <w:color w:val="auto"/>
          <w:sz w:val="24"/>
        </w:rPr>
        <w:t>具有不断学习</w:t>
      </w:r>
      <w:r>
        <w:rPr>
          <w:rFonts w:hint="eastAsia" w:ascii="Times New Roman" w:hAnsi="Times New Roman"/>
          <w:color w:val="auto"/>
          <w:sz w:val="24"/>
          <w:lang w:eastAsia="zh-CN"/>
        </w:rPr>
        <w:t>、</w:t>
      </w:r>
      <w:r>
        <w:rPr>
          <w:rFonts w:hint="eastAsia" w:ascii="Times New Roman" w:hAnsi="Times New Roman"/>
          <w:color w:val="auto"/>
          <w:sz w:val="24"/>
        </w:rPr>
        <w:t>适应社会发展和行业竞争的能力，能够通过学校继续教育或其他渠道更新知识，实现能力和技术水平的提升。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黑体"/>
          <w:b/>
          <w:bCs/>
          <w:color w:val="auto"/>
          <w:sz w:val="24"/>
        </w:rPr>
      </w:pPr>
      <w:r>
        <w:rPr>
          <w:rFonts w:ascii="Times New Roman" w:hAnsi="Times New Roman" w:eastAsia="黑体"/>
          <w:b/>
          <w:bCs/>
          <w:color w:val="auto"/>
          <w:sz w:val="24"/>
        </w:rPr>
        <w:t>三、毕业要求及实现矩阵</w:t>
      </w:r>
    </w:p>
    <w:p>
      <w:pPr>
        <w:spacing w:line="360" w:lineRule="exact"/>
        <w:ind w:firstLine="425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 w:eastAsia="楷体"/>
          <w:b/>
          <w:color w:val="auto"/>
          <w:sz w:val="24"/>
        </w:rPr>
        <w:t>（一）毕业要求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本专业毕业时应具备以下几方面的知识和能力： </w:t>
      </w:r>
      <w:r>
        <w:rPr>
          <w:rFonts w:hint="eastAsia" w:ascii="Times New Roman" w:hAnsi="Times New Roman"/>
          <w:color w:val="auto"/>
          <w:sz w:val="24"/>
        </w:rPr>
        <w:t xml:space="preserve">  </w:t>
      </w:r>
    </w:p>
    <w:p>
      <w:pPr>
        <w:spacing w:line="360" w:lineRule="auto"/>
        <w:ind w:firstLine="480" w:firstLineChars="200"/>
        <w:rPr>
          <w:rFonts w:hint="eastAsia" w:ascii="Times New Roman" w:hAnsi="Times New Roman" w:eastAsia="宋体"/>
          <w:color w:val="auto"/>
          <w:sz w:val="24"/>
          <w:lang w:eastAsia="zh-CN"/>
        </w:rPr>
      </w:pPr>
      <w:r>
        <w:rPr>
          <w:rFonts w:hint="eastAsia" w:ascii="Times New Roman" w:hAnsi="Times New Roman"/>
          <w:color w:val="auto"/>
          <w:sz w:val="24"/>
        </w:rPr>
        <w:t>1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.</w:t>
      </w:r>
      <w:r>
        <w:rPr>
          <w:rFonts w:hint="eastAsia" w:ascii="Times New Roman" w:hAnsi="Times New Roman"/>
          <w:color w:val="auto"/>
          <w:sz w:val="24"/>
        </w:rPr>
        <w:t>专业知识</w:t>
      </w:r>
      <w:r>
        <w:rPr>
          <w:rFonts w:hint="eastAsia" w:ascii="Times New Roman" w:hAnsi="Times New Roman"/>
          <w:color w:val="auto"/>
          <w:sz w:val="24"/>
          <w:lang w:eastAsia="zh-CN"/>
        </w:rPr>
        <w:t>：</w:t>
      </w:r>
      <w:r>
        <w:rPr>
          <w:rFonts w:hint="eastAsia" w:ascii="Times New Roman" w:hAnsi="Times New Roman"/>
          <w:color w:val="auto"/>
          <w:sz w:val="24"/>
        </w:rPr>
        <w:t>具有扎实的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数学</w:t>
      </w:r>
      <w:r>
        <w:rPr>
          <w:rFonts w:hint="eastAsia" w:ascii="Times New Roman" w:hAnsi="Times New Roman"/>
          <w:color w:val="auto"/>
          <w:sz w:val="24"/>
        </w:rPr>
        <w:t>和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统计学</w:t>
      </w:r>
      <w:r>
        <w:rPr>
          <w:rFonts w:hint="eastAsia" w:ascii="Times New Roman" w:hAnsi="Times New Roman"/>
          <w:color w:val="auto"/>
          <w:sz w:val="24"/>
        </w:rPr>
        <w:t>基础</w:t>
      </w:r>
      <w:r>
        <w:rPr>
          <w:rFonts w:hint="eastAsia" w:ascii="Times New Roman" w:hAnsi="Times New Roman"/>
          <w:color w:val="auto"/>
          <w:sz w:val="24"/>
          <w:lang w:eastAsia="zh-CN"/>
        </w:rPr>
        <w:t>，</w:t>
      </w:r>
      <w:r>
        <w:rPr>
          <w:rFonts w:hint="eastAsia" w:ascii="Times New Roman" w:hAnsi="Times New Roman"/>
          <w:color w:val="auto"/>
          <w:sz w:val="24"/>
        </w:rPr>
        <w:t>掌握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经济</w:t>
      </w:r>
      <w:r>
        <w:rPr>
          <w:rFonts w:hint="eastAsia" w:ascii="Times New Roman" w:hAnsi="Times New Roman"/>
          <w:color w:val="auto"/>
          <w:sz w:val="24"/>
        </w:rPr>
        <w:t>统计、大数据统计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和</w:t>
      </w:r>
      <w:r>
        <w:rPr>
          <w:rFonts w:hint="eastAsia" w:ascii="Times New Roman" w:hAnsi="Times New Roman"/>
          <w:color w:val="auto"/>
          <w:sz w:val="24"/>
        </w:rPr>
        <w:t>数据科学的基本理论</w:t>
      </w:r>
      <w:r>
        <w:rPr>
          <w:rFonts w:hint="eastAsia" w:ascii="Times New Roman" w:hAnsi="Times New Roman"/>
          <w:color w:val="auto"/>
          <w:sz w:val="24"/>
          <w:lang w:eastAsia="zh-CN"/>
        </w:rPr>
        <w:t>、</w:t>
      </w:r>
      <w:r>
        <w:rPr>
          <w:rFonts w:hint="eastAsia" w:ascii="Times New Roman" w:hAnsi="Times New Roman"/>
          <w:color w:val="auto"/>
          <w:sz w:val="24"/>
        </w:rPr>
        <w:t>基本知识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和基本技能</w:t>
      </w:r>
      <w:r>
        <w:rPr>
          <w:rFonts w:hint="eastAsia" w:ascii="Times New Roman" w:hAnsi="Times New Roman"/>
          <w:color w:val="auto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default" w:ascii="Times New Roman" w:hAnsi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/>
          <w:color w:val="auto"/>
          <w:sz w:val="24"/>
        </w:rPr>
        <w:t>2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.</w:t>
      </w:r>
      <w:r>
        <w:rPr>
          <w:rFonts w:hint="eastAsia" w:ascii="Times New Roman" w:hAnsi="Times New Roman"/>
          <w:color w:val="auto"/>
          <w:sz w:val="24"/>
        </w:rPr>
        <w:t>问题分析</w:t>
      </w:r>
      <w:r>
        <w:rPr>
          <w:rFonts w:hint="eastAsia" w:ascii="Times New Roman" w:hAnsi="Times New Roman"/>
          <w:color w:val="auto"/>
          <w:sz w:val="24"/>
          <w:lang w:eastAsia="zh-CN"/>
        </w:rPr>
        <w:t>：能够识别和定义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社会</w:t>
      </w:r>
      <w:r>
        <w:rPr>
          <w:rFonts w:hint="eastAsia" w:ascii="Times New Roman" w:hAnsi="Times New Roman"/>
          <w:color w:val="auto"/>
          <w:sz w:val="24"/>
        </w:rPr>
        <w:t>经济、大数据等方面的</w:t>
      </w:r>
      <w:r>
        <w:rPr>
          <w:rFonts w:hint="eastAsia" w:ascii="Times New Roman" w:hAnsi="Times New Roman"/>
          <w:color w:val="auto"/>
          <w:sz w:val="24"/>
          <w:lang w:eastAsia="zh-CN"/>
        </w:rPr>
        <w:t>问题，具备从实际问题中抽象出统计问题，并进行分析和建模的能力，分析因果关系，制定解决问题的策略并评估可能的结果；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Times New Roman" w:hAnsi="Times New Roman"/>
          <w:color w:val="auto"/>
          <w:sz w:val="24"/>
          <w:lang w:eastAsia="zh-CN"/>
        </w:rPr>
      </w:pPr>
      <w:r>
        <w:rPr>
          <w:rFonts w:hint="eastAsia" w:ascii="Times New Roman" w:hAnsi="Times New Roman"/>
          <w:color w:val="auto"/>
          <w:sz w:val="24"/>
          <w:lang w:val="en-US" w:eastAsia="zh-CN"/>
        </w:rPr>
        <w:t>3.设计/开发解决方案：能够通过建模方法，设计针对实际问题的解决方案，并能够在设计环节中体现创新意识，考虑社会、健康、法律、文化以及环境因素等；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color w:val="auto"/>
          <w:sz w:val="24"/>
        </w:rPr>
      </w:pPr>
      <w:r>
        <w:rPr>
          <w:rFonts w:hint="eastAsia" w:ascii="Times New Roman" w:hAnsi="Times New Roman"/>
          <w:color w:val="auto"/>
          <w:sz w:val="24"/>
          <w:lang w:val="en-US" w:eastAsia="zh-CN"/>
        </w:rPr>
        <w:t>4.</w:t>
      </w:r>
      <w:r>
        <w:rPr>
          <w:rFonts w:hint="eastAsia" w:ascii="Times New Roman" w:hAnsi="Times New Roman"/>
          <w:color w:val="auto"/>
          <w:sz w:val="24"/>
        </w:rPr>
        <w:t>研究</w:t>
      </w:r>
      <w:r>
        <w:rPr>
          <w:rFonts w:hint="eastAsia" w:ascii="Times New Roman" w:hAnsi="Times New Roman"/>
          <w:color w:val="auto"/>
          <w:sz w:val="24"/>
          <w:lang w:eastAsia="zh-CN"/>
        </w:rPr>
        <w:t>：</w:t>
      </w:r>
      <w:r>
        <w:rPr>
          <w:rFonts w:hint="eastAsia" w:ascii="Times New Roman" w:hAnsi="Times New Roman"/>
          <w:color w:val="auto"/>
          <w:sz w:val="24"/>
        </w:rPr>
        <w:t>能够基于统计数据处理方法，对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社会经济</w:t>
      </w:r>
      <w:r>
        <w:rPr>
          <w:rFonts w:hint="eastAsia" w:ascii="Times New Roman" w:hAnsi="Times New Roman"/>
          <w:color w:val="auto"/>
          <w:sz w:val="24"/>
        </w:rPr>
        <w:t>、大数据等方面的实际应用问题进行研究，包括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降维、分类、预测</w:t>
      </w:r>
      <w:r>
        <w:rPr>
          <w:rFonts w:hint="eastAsia" w:ascii="Times New Roman" w:hAnsi="Times New Roman"/>
          <w:color w:val="auto"/>
          <w:sz w:val="24"/>
        </w:rPr>
        <w:t>等，并得到有效的结论;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color w:val="auto"/>
          <w:sz w:val="24"/>
        </w:rPr>
      </w:pPr>
      <w:r>
        <w:rPr>
          <w:rFonts w:hint="eastAsia" w:ascii="Times New Roman" w:hAnsi="Times New Roman"/>
          <w:color w:val="auto"/>
          <w:sz w:val="24"/>
          <w:lang w:val="en-US" w:eastAsia="zh-CN"/>
        </w:rPr>
        <w:t>5.</w:t>
      </w:r>
      <w:r>
        <w:rPr>
          <w:rFonts w:hint="eastAsia" w:ascii="Times New Roman" w:hAnsi="Times New Roman"/>
          <w:color w:val="auto"/>
          <w:sz w:val="24"/>
        </w:rPr>
        <w:t>使用现代工具</w:t>
      </w:r>
      <w:r>
        <w:rPr>
          <w:rFonts w:hint="eastAsia" w:ascii="Times New Roman" w:hAnsi="Times New Roman"/>
          <w:color w:val="auto"/>
          <w:sz w:val="24"/>
          <w:lang w:eastAsia="zh-CN"/>
        </w:rPr>
        <w:t>：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能熟练使用计算机(包括常用语言、工具及一些统计软件)，具有针对特定问题构建模型并利用软件或编程实现、对结果进行分析的能力</w:t>
      </w:r>
      <w:r>
        <w:rPr>
          <w:rFonts w:hint="eastAsia" w:ascii="Times New Roman" w:hAnsi="Times New Roman"/>
          <w:color w:val="auto"/>
          <w:sz w:val="24"/>
        </w:rPr>
        <w:t>;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color w:val="auto"/>
          <w:sz w:val="24"/>
        </w:rPr>
      </w:pPr>
      <w:r>
        <w:rPr>
          <w:rFonts w:hint="eastAsia" w:ascii="Times New Roman" w:hAnsi="Times New Roman"/>
          <w:color w:val="auto"/>
          <w:sz w:val="24"/>
          <w:lang w:val="en-US" w:eastAsia="zh-CN"/>
        </w:rPr>
        <w:t>6</w:t>
      </w:r>
      <w:r>
        <w:rPr>
          <w:rFonts w:hint="eastAsia" w:ascii="Times New Roman" w:hAnsi="Times New Roman"/>
          <w:color w:val="auto"/>
          <w:sz w:val="24"/>
          <w:lang w:eastAsia="zh-CN"/>
        </w:rPr>
        <w:t>.</w:t>
      </w:r>
      <w:r>
        <w:rPr>
          <w:rFonts w:hint="eastAsia" w:ascii="Times New Roman" w:hAnsi="Times New Roman"/>
          <w:color w:val="auto"/>
          <w:sz w:val="24"/>
        </w:rPr>
        <w:t>实践与社会</w:t>
      </w:r>
      <w:r>
        <w:rPr>
          <w:rFonts w:hint="eastAsia" w:ascii="Times New Roman" w:hAnsi="Times New Roman"/>
          <w:color w:val="auto"/>
          <w:sz w:val="24"/>
          <w:lang w:eastAsia="zh-CN"/>
        </w:rPr>
        <w:t>：</w:t>
      </w:r>
      <w:r>
        <w:rPr>
          <w:rFonts w:hint="eastAsia" w:ascii="Times New Roman" w:hAnsi="Times New Roman"/>
          <w:color w:val="auto"/>
          <w:sz w:val="24"/>
        </w:rPr>
        <w:t>能够基于相关背景知识，进行合理地分析和评价统计数据处理、统计推断与决策对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社会经济</w:t>
      </w:r>
      <w:r>
        <w:rPr>
          <w:rFonts w:hint="eastAsia" w:ascii="Times New Roman" w:hAnsi="Times New Roman"/>
          <w:color w:val="auto"/>
          <w:sz w:val="24"/>
        </w:rPr>
        <w:t>、大数据等方面的实际影响，并理解应承担的责任;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color w:val="auto"/>
          <w:sz w:val="24"/>
        </w:rPr>
      </w:pPr>
      <w:r>
        <w:rPr>
          <w:rFonts w:hint="eastAsia" w:ascii="Times New Roman" w:hAnsi="Times New Roman"/>
          <w:color w:val="auto"/>
          <w:sz w:val="24"/>
          <w:lang w:val="en-US" w:eastAsia="zh-CN"/>
        </w:rPr>
        <w:t>7</w:t>
      </w:r>
      <w:r>
        <w:rPr>
          <w:rFonts w:hint="eastAsia" w:ascii="Times New Roman" w:hAnsi="Times New Roman"/>
          <w:color w:val="auto"/>
          <w:sz w:val="24"/>
          <w:lang w:eastAsia="zh-CN"/>
        </w:rPr>
        <w:t>.</w:t>
      </w:r>
      <w:r>
        <w:rPr>
          <w:rFonts w:hint="eastAsia" w:ascii="Times New Roman" w:hAnsi="Times New Roman"/>
          <w:color w:val="auto"/>
          <w:sz w:val="24"/>
        </w:rPr>
        <w:t>环境和可持续发展</w:t>
      </w:r>
      <w:r>
        <w:rPr>
          <w:rFonts w:hint="eastAsia" w:ascii="Times New Roman" w:hAnsi="Times New Roman"/>
          <w:color w:val="auto"/>
          <w:sz w:val="24"/>
          <w:lang w:eastAsia="zh-CN"/>
        </w:rPr>
        <w:t>：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能够在分析问题解决问题时注重对环境、社会可持续发展的影响</w:t>
      </w:r>
      <w:r>
        <w:rPr>
          <w:rFonts w:hint="eastAsia" w:ascii="Times New Roman" w:hAnsi="Times New Roman"/>
          <w:color w:val="auto"/>
          <w:sz w:val="24"/>
        </w:rPr>
        <w:t>;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color w:val="auto"/>
          <w:sz w:val="24"/>
        </w:rPr>
      </w:pPr>
      <w:r>
        <w:rPr>
          <w:rFonts w:hint="eastAsia" w:ascii="Times New Roman" w:hAnsi="Times New Roman"/>
          <w:color w:val="auto"/>
          <w:sz w:val="24"/>
          <w:lang w:val="en-US" w:eastAsia="zh-CN"/>
        </w:rPr>
        <w:t>8.</w:t>
      </w:r>
      <w:r>
        <w:rPr>
          <w:rFonts w:hint="eastAsia" w:ascii="Times New Roman" w:hAnsi="Times New Roman"/>
          <w:color w:val="auto"/>
          <w:sz w:val="24"/>
        </w:rPr>
        <w:t>职业规范</w:t>
      </w:r>
      <w:r>
        <w:rPr>
          <w:rFonts w:hint="eastAsia" w:ascii="Times New Roman" w:hAnsi="Times New Roman"/>
          <w:color w:val="auto"/>
          <w:sz w:val="24"/>
          <w:lang w:eastAsia="zh-CN"/>
        </w:rPr>
        <w:t>：</w:t>
      </w:r>
      <w:r>
        <w:rPr>
          <w:rFonts w:hint="eastAsia" w:ascii="Times New Roman" w:hAnsi="Times New Roman"/>
          <w:color w:val="auto"/>
          <w:sz w:val="24"/>
        </w:rPr>
        <w:t>具有人文社会科学素养、社会责任感;能够在工作中理解并遵守职业道德和规范，履行责任;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color w:val="auto"/>
          <w:sz w:val="24"/>
        </w:rPr>
      </w:pPr>
      <w:r>
        <w:rPr>
          <w:rFonts w:hint="eastAsia" w:ascii="Times New Roman" w:hAnsi="Times New Roman"/>
          <w:color w:val="auto"/>
          <w:sz w:val="24"/>
          <w:lang w:val="en-US" w:eastAsia="zh-CN"/>
        </w:rPr>
        <w:t>9.</w:t>
      </w:r>
      <w:r>
        <w:rPr>
          <w:rFonts w:hint="eastAsia" w:ascii="Times New Roman" w:hAnsi="Times New Roman"/>
          <w:color w:val="auto"/>
          <w:sz w:val="24"/>
        </w:rPr>
        <w:t>个人和团队</w:t>
      </w:r>
      <w:r>
        <w:rPr>
          <w:rFonts w:hint="eastAsia" w:ascii="Times New Roman" w:hAnsi="Times New Roman"/>
          <w:color w:val="auto"/>
          <w:sz w:val="24"/>
          <w:lang w:eastAsia="zh-CN"/>
        </w:rPr>
        <w:t>：</w:t>
      </w:r>
      <w:r>
        <w:rPr>
          <w:rFonts w:hint="eastAsia" w:ascii="Times New Roman" w:hAnsi="Times New Roman"/>
          <w:color w:val="auto"/>
          <w:sz w:val="24"/>
        </w:rPr>
        <w:t>能够在多学科背景下的团队中承担个体、团队成员以及负责人的角色</w:t>
      </w:r>
      <w:r>
        <w:rPr>
          <w:rFonts w:hint="eastAsia" w:ascii="Times New Roman" w:hAnsi="Times New Roman"/>
          <w:color w:val="auto"/>
          <w:sz w:val="24"/>
          <w:lang w:eastAsia="zh-CN"/>
        </w:rPr>
        <w:t>，能够与他人合作完成统计研究和实践活动</w:t>
      </w:r>
      <w:r>
        <w:rPr>
          <w:rFonts w:hint="eastAsia" w:ascii="Times New Roman" w:hAnsi="Times New Roman"/>
          <w:color w:val="auto"/>
          <w:sz w:val="24"/>
        </w:rPr>
        <w:t>: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color w:val="auto"/>
          <w:sz w:val="24"/>
        </w:rPr>
      </w:pPr>
      <w:r>
        <w:rPr>
          <w:rFonts w:hint="eastAsia" w:ascii="Times New Roman" w:hAnsi="Times New Roman"/>
          <w:color w:val="auto"/>
          <w:sz w:val="24"/>
          <w:lang w:val="en-US" w:eastAsia="zh-CN"/>
        </w:rPr>
        <w:t>10.</w:t>
      </w:r>
      <w:r>
        <w:rPr>
          <w:rFonts w:hint="eastAsia" w:ascii="Times New Roman" w:hAnsi="Times New Roman"/>
          <w:color w:val="auto"/>
          <w:sz w:val="24"/>
        </w:rPr>
        <w:t>沟通</w:t>
      </w:r>
      <w:r>
        <w:rPr>
          <w:rFonts w:hint="eastAsia" w:ascii="Times New Roman" w:hAnsi="Times New Roman"/>
          <w:color w:val="auto"/>
          <w:sz w:val="24"/>
          <w:lang w:eastAsia="zh-CN"/>
        </w:rPr>
        <w:t>：</w:t>
      </w:r>
      <w:r>
        <w:rPr>
          <w:rFonts w:hint="eastAsia" w:ascii="Times New Roman" w:hAnsi="Times New Roman"/>
          <w:color w:val="auto"/>
          <w:sz w:val="24"/>
        </w:rPr>
        <w:t>能够就一些复杂问题与业界同行及社会公众进行有效沟通和交流，包括撰写报告和设计文稿、陈述发言、清晰表达或回应指令，并具备一定的国际视野，能够在跨文化背景下进行沟通和交流;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color w:val="auto"/>
          <w:sz w:val="24"/>
        </w:rPr>
      </w:pPr>
      <w:r>
        <w:rPr>
          <w:rFonts w:hint="eastAsia" w:ascii="Times New Roman" w:hAnsi="Times New Roman"/>
          <w:color w:val="auto"/>
          <w:sz w:val="24"/>
        </w:rPr>
        <w:t>1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1.</w:t>
      </w:r>
      <w:r>
        <w:rPr>
          <w:rFonts w:hint="eastAsia" w:ascii="Times New Roman" w:hAnsi="Times New Roman"/>
          <w:color w:val="auto"/>
          <w:sz w:val="24"/>
        </w:rPr>
        <w:t>项目管理</w:t>
      </w:r>
      <w:r>
        <w:rPr>
          <w:rFonts w:hint="eastAsia" w:ascii="Times New Roman" w:hAnsi="Times New Roman"/>
          <w:color w:val="auto"/>
          <w:sz w:val="24"/>
          <w:lang w:eastAsia="zh-CN"/>
        </w:rPr>
        <w:t>：</w:t>
      </w:r>
      <w:r>
        <w:rPr>
          <w:rFonts w:hint="eastAsia" w:ascii="Times New Roman" w:hAnsi="Times New Roman"/>
          <w:color w:val="auto"/>
          <w:sz w:val="24"/>
        </w:rPr>
        <w:t>理解并掌握项目管理原理与统计决策方法，并能在多学科环境中应用: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color w:val="auto"/>
          <w:sz w:val="24"/>
        </w:rPr>
      </w:pPr>
      <w:r>
        <w:rPr>
          <w:rFonts w:hint="eastAsia" w:ascii="Times New Roman" w:hAnsi="Times New Roman"/>
          <w:color w:val="auto"/>
          <w:sz w:val="24"/>
        </w:rPr>
        <w:t>1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2.</w:t>
      </w:r>
      <w:r>
        <w:rPr>
          <w:rFonts w:hint="eastAsia" w:ascii="Times New Roman" w:hAnsi="Times New Roman"/>
          <w:color w:val="auto"/>
          <w:sz w:val="24"/>
        </w:rPr>
        <w:t>终身学习</w:t>
      </w:r>
      <w:r>
        <w:rPr>
          <w:rFonts w:hint="eastAsia" w:ascii="Times New Roman" w:hAnsi="Times New Roman"/>
          <w:color w:val="auto"/>
          <w:sz w:val="24"/>
          <w:lang w:eastAsia="zh-CN"/>
        </w:rPr>
        <w:t>：</w:t>
      </w:r>
      <w:r>
        <w:rPr>
          <w:rFonts w:hint="eastAsia" w:ascii="Times New Roman" w:hAnsi="Times New Roman"/>
          <w:color w:val="auto"/>
          <w:sz w:val="24"/>
        </w:rPr>
        <w:t>具有自主学习和终身学习的意识，有不断学习和适应发展的能力，能够制定有实施效果的学习计划，并能根据环境变化不断改进学习方法。</w:t>
      </w:r>
    </w:p>
    <w:p>
      <w:pPr>
        <w:adjustRightInd w:val="0"/>
        <w:snapToGrid w:val="0"/>
        <w:spacing w:line="360" w:lineRule="auto"/>
        <w:ind w:firstLine="480"/>
        <w:rPr>
          <w:rFonts w:ascii="Times New Roman" w:hAnsi="Times New Roman" w:eastAsia="楷体"/>
          <w:color w:val="auto"/>
          <w:sz w:val="24"/>
        </w:rPr>
      </w:pPr>
      <w:r>
        <w:rPr>
          <w:rFonts w:ascii="Times New Roman" w:hAnsi="Times New Roman" w:eastAsia="楷体"/>
          <w:b/>
          <w:color w:val="auto"/>
          <w:sz w:val="24"/>
        </w:rPr>
        <w:t>（二）实现矩阵</w:t>
      </w:r>
    </w:p>
    <w:p>
      <w:pPr>
        <w:autoSpaceDE w:val="0"/>
        <w:autoSpaceDN w:val="0"/>
        <w:adjustRightInd w:val="0"/>
        <w:snapToGrid w:val="0"/>
        <w:spacing w:line="360" w:lineRule="auto"/>
        <w:ind w:right="40" w:firstLine="482" w:firstLineChars="200"/>
        <w:jc w:val="center"/>
        <w:rPr>
          <w:rFonts w:eastAsia="楷体"/>
          <w:b/>
          <w:bCs/>
          <w:color w:val="auto"/>
          <w:kern w:val="0"/>
          <w:sz w:val="24"/>
        </w:rPr>
      </w:pPr>
      <w:r>
        <w:rPr>
          <w:rFonts w:hint="eastAsia" w:eastAsia="楷体"/>
          <w:b/>
          <w:bCs/>
          <w:color w:val="auto"/>
          <w:kern w:val="0"/>
          <w:sz w:val="24"/>
        </w:rPr>
        <w:t>毕业要求与培养目标之间的支撑关系矩阵</w:t>
      </w:r>
    </w:p>
    <w:tbl>
      <w:tblPr>
        <w:tblStyle w:val="13"/>
        <w:tblW w:w="84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2496"/>
        <w:gridCol w:w="1053"/>
        <w:gridCol w:w="1184"/>
        <w:gridCol w:w="1186"/>
        <w:gridCol w:w="1095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15" w:hRule="exact"/>
          <w:jc w:val="center"/>
        </w:trPr>
        <w:tc>
          <w:tcPr>
            <w:tcW w:w="2496" w:type="dxa"/>
            <w:vMerge w:val="restart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本专业的毕业要求</w:t>
            </w:r>
          </w:p>
        </w:tc>
        <w:tc>
          <w:tcPr>
            <w:tcW w:w="5924" w:type="dxa"/>
            <w:gridSpan w:val="5"/>
            <w:vAlign w:val="center"/>
          </w:tcPr>
          <w:p>
            <w:pPr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sz w:val="18"/>
                <w:szCs w:val="18"/>
              </w:rPr>
              <w:t>本专业的培养目标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15" w:hRule="exact"/>
          <w:jc w:val="center"/>
        </w:trPr>
        <w:tc>
          <w:tcPr>
            <w:tcW w:w="2496" w:type="dxa"/>
            <w:vMerge w:val="continue"/>
            <w:vAlign w:val="center"/>
          </w:tcPr>
          <w:p>
            <w:pPr>
              <w:jc w:val="center"/>
              <w:rPr>
                <w:b/>
                <w:color w:val="auto"/>
                <w:szCs w:val="21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培养目标1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培养目标2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培养目标3</w:t>
            </w: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培养目标4</w:t>
            </w:r>
          </w:p>
        </w:tc>
        <w:tc>
          <w:tcPr>
            <w:tcW w:w="1406" w:type="dxa"/>
            <w:vAlign w:val="top"/>
          </w:tcPr>
          <w:p>
            <w:pPr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培养目标5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15" w:hRule="exact"/>
          <w:jc w:val="center"/>
        </w:trPr>
        <w:tc>
          <w:tcPr>
            <w:tcW w:w="2496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毕业要求1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：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专业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知识</w:t>
            </w:r>
          </w:p>
        </w:tc>
        <w:tc>
          <w:tcPr>
            <w:tcW w:w="10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bCs/>
                <w:color w:val="auto"/>
                <w:szCs w:val="21"/>
              </w:rPr>
              <w:t>√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bCs/>
                <w:color w:val="auto"/>
                <w:szCs w:val="21"/>
              </w:rPr>
              <w:t>√</w:t>
            </w:r>
          </w:p>
        </w:tc>
        <w:tc>
          <w:tcPr>
            <w:tcW w:w="1406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15" w:hRule="exact"/>
          <w:jc w:val="center"/>
        </w:trPr>
        <w:tc>
          <w:tcPr>
            <w:tcW w:w="2496" w:type="dxa"/>
            <w:vAlign w:val="center"/>
          </w:tcPr>
          <w:p>
            <w:pPr>
              <w:jc w:val="lef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毕业要求2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：问题分析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bCs/>
                <w:color w:val="auto"/>
                <w:szCs w:val="21"/>
              </w:rPr>
              <w:t>√</w:t>
            </w: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bCs/>
                <w:color w:val="auto"/>
                <w:szCs w:val="21"/>
              </w:rPr>
              <w:t>√</w:t>
            </w:r>
          </w:p>
        </w:tc>
        <w:tc>
          <w:tcPr>
            <w:tcW w:w="1406" w:type="dxa"/>
            <w:vAlign w:val="top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38" w:hRule="exact"/>
          <w:jc w:val="center"/>
        </w:trPr>
        <w:tc>
          <w:tcPr>
            <w:tcW w:w="2496" w:type="dxa"/>
            <w:vAlign w:val="center"/>
          </w:tcPr>
          <w:p>
            <w:pPr>
              <w:jc w:val="lef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毕业要求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：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设计/开发解决方案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bCs/>
                <w:color w:val="auto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color w:val="auto"/>
                <w:szCs w:val="21"/>
              </w:rPr>
              <w:t>√</w:t>
            </w: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color w:val="auto"/>
                <w:szCs w:val="21"/>
              </w:rPr>
              <w:t>√</w:t>
            </w:r>
          </w:p>
        </w:tc>
        <w:tc>
          <w:tcPr>
            <w:tcW w:w="1406" w:type="dxa"/>
            <w:vAlign w:val="top"/>
          </w:tcPr>
          <w:p>
            <w:pPr>
              <w:jc w:val="center"/>
              <w:rPr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15" w:hRule="exact"/>
          <w:jc w:val="center"/>
        </w:trPr>
        <w:tc>
          <w:tcPr>
            <w:tcW w:w="2496" w:type="dxa"/>
            <w:vAlign w:val="center"/>
          </w:tcPr>
          <w:p>
            <w:pPr>
              <w:jc w:val="lef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毕业要求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：研究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bCs/>
                <w:color w:val="auto"/>
                <w:szCs w:val="21"/>
              </w:rPr>
              <w:t>√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bCs/>
                <w:color w:val="auto"/>
                <w:szCs w:val="21"/>
              </w:rPr>
              <w:t>√</w:t>
            </w:r>
          </w:p>
        </w:tc>
        <w:tc>
          <w:tcPr>
            <w:tcW w:w="1406" w:type="dxa"/>
            <w:vAlign w:val="top"/>
          </w:tcPr>
          <w:p>
            <w:pPr>
              <w:jc w:val="center"/>
              <w:rPr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15" w:hRule="exact"/>
          <w:jc w:val="center"/>
        </w:trPr>
        <w:tc>
          <w:tcPr>
            <w:tcW w:w="2496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毕业要求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：使用现代工具</w:t>
            </w:r>
          </w:p>
        </w:tc>
        <w:tc>
          <w:tcPr>
            <w:tcW w:w="10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color w:val="auto"/>
                <w:szCs w:val="21"/>
              </w:rPr>
              <w:t>√</w:t>
            </w:r>
          </w:p>
        </w:tc>
        <w:tc>
          <w:tcPr>
            <w:tcW w:w="109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Cs/>
                <w:color w:val="auto"/>
                <w:szCs w:val="21"/>
              </w:rPr>
              <w:t>√</w:t>
            </w:r>
          </w:p>
        </w:tc>
        <w:tc>
          <w:tcPr>
            <w:tcW w:w="1406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15" w:hRule="exact"/>
          <w:jc w:val="center"/>
        </w:trPr>
        <w:tc>
          <w:tcPr>
            <w:tcW w:w="2496" w:type="dxa"/>
            <w:vAlign w:val="center"/>
          </w:tcPr>
          <w:p>
            <w:pPr>
              <w:jc w:val="left"/>
              <w:rPr>
                <w:rFonts w:hint="default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b/>
                <w:color w:val="auto"/>
                <w:sz w:val="18"/>
                <w:szCs w:val="18"/>
              </w:rPr>
              <w:t>毕业要求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：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实践与社会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bCs/>
                <w:color w:val="auto"/>
                <w:szCs w:val="21"/>
              </w:rPr>
              <w:t>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bCs/>
                <w:color w:val="auto"/>
                <w:szCs w:val="21"/>
              </w:rPr>
              <w:t>√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bCs/>
                <w:color w:val="auto"/>
                <w:szCs w:val="21"/>
              </w:rPr>
              <w:t>√</w:t>
            </w:r>
          </w:p>
        </w:tc>
        <w:tc>
          <w:tcPr>
            <w:tcW w:w="1406" w:type="dxa"/>
            <w:vAlign w:val="top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15" w:hRule="exact"/>
          <w:jc w:val="center"/>
        </w:trPr>
        <w:tc>
          <w:tcPr>
            <w:tcW w:w="2496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毕业要求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：环境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和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可持续发展</w:t>
            </w:r>
          </w:p>
        </w:tc>
        <w:tc>
          <w:tcPr>
            <w:tcW w:w="10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bCs/>
                <w:color w:val="auto"/>
                <w:szCs w:val="21"/>
              </w:rPr>
              <w:t>√</w:t>
            </w:r>
          </w:p>
        </w:tc>
        <w:tc>
          <w:tcPr>
            <w:tcW w:w="11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bCs/>
                <w:color w:val="auto"/>
                <w:szCs w:val="21"/>
              </w:rPr>
              <w:t>√</w:t>
            </w:r>
          </w:p>
        </w:tc>
        <w:tc>
          <w:tcPr>
            <w:tcW w:w="11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95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bCs/>
                <w:color w:val="auto"/>
                <w:szCs w:val="21"/>
              </w:rPr>
            </w:pPr>
          </w:p>
        </w:tc>
        <w:tc>
          <w:tcPr>
            <w:tcW w:w="1406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15" w:hRule="exact"/>
          <w:jc w:val="center"/>
        </w:trPr>
        <w:tc>
          <w:tcPr>
            <w:tcW w:w="2496" w:type="dxa"/>
            <w:vAlign w:val="center"/>
          </w:tcPr>
          <w:p>
            <w:pPr>
              <w:jc w:val="left"/>
              <w:rPr>
                <w:rFonts w:hint="default"/>
                <w:b/>
                <w:color w:val="auto"/>
                <w:sz w:val="18"/>
                <w:szCs w:val="18"/>
                <w:lang w:val="en-US"/>
              </w:rPr>
            </w:pPr>
            <w:r>
              <w:rPr>
                <w:b/>
                <w:color w:val="auto"/>
                <w:sz w:val="18"/>
                <w:szCs w:val="18"/>
              </w:rPr>
              <w:t>毕业要求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：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职业规范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bCs/>
                <w:color w:val="auto"/>
                <w:szCs w:val="21"/>
              </w:rPr>
              <w:t>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bCs/>
                <w:color w:val="auto"/>
                <w:szCs w:val="21"/>
              </w:rPr>
            </w:pPr>
          </w:p>
        </w:tc>
        <w:tc>
          <w:tcPr>
            <w:tcW w:w="1406" w:type="dxa"/>
            <w:vAlign w:val="top"/>
          </w:tcPr>
          <w:p>
            <w:pPr>
              <w:jc w:val="center"/>
              <w:rPr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15" w:hRule="exact"/>
          <w:jc w:val="center"/>
        </w:trPr>
        <w:tc>
          <w:tcPr>
            <w:tcW w:w="2496" w:type="dxa"/>
            <w:vAlign w:val="center"/>
          </w:tcPr>
          <w:p>
            <w:pPr>
              <w:jc w:val="left"/>
              <w:rPr>
                <w:rFonts w:hint="default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b/>
                <w:color w:val="auto"/>
                <w:sz w:val="18"/>
                <w:szCs w:val="18"/>
              </w:rPr>
              <w:t>毕业要求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：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个人和团队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bCs/>
                <w:color w:val="auto"/>
                <w:szCs w:val="21"/>
              </w:rPr>
              <w:t>√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bCs/>
                <w:color w:val="auto"/>
                <w:szCs w:val="21"/>
              </w:rPr>
              <w:t>√</w:t>
            </w:r>
          </w:p>
        </w:tc>
        <w:tc>
          <w:tcPr>
            <w:tcW w:w="1406" w:type="dxa"/>
            <w:vAlign w:val="top"/>
          </w:tcPr>
          <w:p>
            <w:pPr>
              <w:jc w:val="center"/>
              <w:rPr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15" w:hRule="exact"/>
          <w:jc w:val="center"/>
        </w:trPr>
        <w:tc>
          <w:tcPr>
            <w:tcW w:w="2496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毕业要求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：沟通</w:t>
            </w:r>
          </w:p>
        </w:tc>
        <w:tc>
          <w:tcPr>
            <w:tcW w:w="105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bCs/>
                <w:color w:val="auto"/>
                <w:szCs w:val="21"/>
              </w:rPr>
              <w:t>√</w:t>
            </w:r>
          </w:p>
        </w:tc>
        <w:tc>
          <w:tcPr>
            <w:tcW w:w="118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95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bCs/>
                <w:color w:val="auto"/>
                <w:szCs w:val="21"/>
              </w:rPr>
              <w:t>√</w:t>
            </w:r>
          </w:p>
        </w:tc>
        <w:tc>
          <w:tcPr>
            <w:tcW w:w="1406" w:type="dxa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15" w:hRule="exact"/>
          <w:jc w:val="center"/>
        </w:trPr>
        <w:tc>
          <w:tcPr>
            <w:tcW w:w="2496" w:type="dxa"/>
            <w:vAlign w:val="center"/>
          </w:tcPr>
          <w:p>
            <w:pPr>
              <w:jc w:val="lef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毕业要求1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：项目管理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bCs/>
                <w:color w:val="auto"/>
                <w:szCs w:val="21"/>
              </w:rPr>
              <w:t>√</w:t>
            </w: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bCs/>
                <w:color w:val="auto"/>
                <w:szCs w:val="21"/>
              </w:rPr>
            </w:pPr>
            <w:r>
              <w:rPr>
                <w:bCs/>
                <w:color w:val="auto"/>
                <w:szCs w:val="21"/>
              </w:rPr>
              <w:t>√</w:t>
            </w:r>
          </w:p>
        </w:tc>
        <w:tc>
          <w:tcPr>
            <w:tcW w:w="1406" w:type="dxa"/>
            <w:vAlign w:val="top"/>
          </w:tcPr>
          <w:p>
            <w:pPr>
              <w:jc w:val="center"/>
              <w:rPr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15" w:hRule="exact"/>
          <w:jc w:val="center"/>
        </w:trPr>
        <w:tc>
          <w:tcPr>
            <w:tcW w:w="2496" w:type="dxa"/>
            <w:vAlign w:val="center"/>
          </w:tcPr>
          <w:p>
            <w:pPr>
              <w:jc w:val="left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毕业要求1</w:t>
            </w:r>
            <w:r>
              <w:rPr>
                <w:rFonts w:hint="eastAsia"/>
                <w:b/>
                <w:color w:val="auto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b/>
                <w:color w:val="auto"/>
                <w:sz w:val="18"/>
                <w:szCs w:val="18"/>
              </w:rPr>
              <w:t>：终身学习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095" w:type="dxa"/>
            <w:vAlign w:val="top"/>
          </w:tcPr>
          <w:p>
            <w:pPr>
              <w:jc w:val="center"/>
              <w:rPr>
                <w:bCs/>
                <w:color w:val="auto"/>
                <w:szCs w:val="21"/>
              </w:rPr>
            </w:pPr>
          </w:p>
        </w:tc>
        <w:tc>
          <w:tcPr>
            <w:tcW w:w="1406" w:type="dxa"/>
            <w:vAlign w:val="top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bCs/>
                <w:color w:val="auto"/>
                <w:szCs w:val="21"/>
              </w:rPr>
              <w:t>√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ind w:firstLine="482" w:firstLineChars="200"/>
        <w:jc w:val="left"/>
        <w:rPr>
          <w:rFonts w:eastAsia="黑体"/>
          <w:b/>
          <w:bCs/>
          <w:color w:val="auto"/>
          <w:kern w:val="0"/>
          <w:sz w:val="24"/>
        </w:rPr>
      </w:pPr>
      <w:r>
        <w:rPr>
          <w:rFonts w:eastAsia="黑体"/>
          <w:b/>
          <w:bCs/>
          <w:color w:val="auto"/>
          <w:kern w:val="0"/>
          <w:sz w:val="24"/>
        </w:rPr>
        <w:t>四、</w:t>
      </w:r>
      <w:r>
        <w:rPr>
          <w:rFonts w:hint="eastAsia" w:eastAsia="黑体"/>
          <w:b/>
          <w:bCs/>
          <w:color w:val="auto"/>
          <w:kern w:val="0"/>
          <w:sz w:val="24"/>
        </w:rPr>
        <w:t>主干学科、核心课程与主要专业实验</w:t>
      </w:r>
    </w:p>
    <w:p>
      <w:pPr>
        <w:autoSpaceDE w:val="0"/>
        <w:autoSpaceDN w:val="0"/>
        <w:adjustRightInd w:val="0"/>
        <w:snapToGrid w:val="0"/>
        <w:spacing w:line="360" w:lineRule="auto"/>
        <w:ind w:firstLine="482" w:firstLineChars="200"/>
        <w:jc w:val="left"/>
        <w:rPr>
          <w:rFonts w:eastAsia="楷体"/>
          <w:b/>
          <w:bCs/>
          <w:color w:val="auto"/>
          <w:kern w:val="0"/>
          <w:sz w:val="24"/>
        </w:rPr>
      </w:pPr>
      <w:r>
        <w:rPr>
          <w:rFonts w:hint="eastAsia" w:eastAsia="楷体"/>
          <w:b/>
          <w:bCs/>
          <w:color w:val="auto"/>
          <w:kern w:val="0"/>
          <w:sz w:val="24"/>
        </w:rPr>
        <w:t>（一）主干学科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bCs/>
          <w:color w:val="auto"/>
          <w:kern w:val="0"/>
          <w:sz w:val="24"/>
        </w:rPr>
      </w:pPr>
      <w:r>
        <w:rPr>
          <w:rFonts w:hint="eastAsia"/>
          <w:bCs/>
          <w:color w:val="auto"/>
          <w:kern w:val="0"/>
          <w:sz w:val="24"/>
          <w:lang w:val="en-US" w:eastAsia="zh-CN"/>
        </w:rPr>
        <w:t>数学</w:t>
      </w:r>
      <w:r>
        <w:rPr>
          <w:rFonts w:hint="eastAsia"/>
          <w:bCs/>
          <w:color w:val="auto"/>
          <w:kern w:val="0"/>
          <w:sz w:val="24"/>
        </w:rPr>
        <w:t>、</w:t>
      </w:r>
      <w:r>
        <w:rPr>
          <w:rFonts w:hint="eastAsia"/>
          <w:bCs/>
          <w:color w:val="auto"/>
          <w:kern w:val="0"/>
          <w:sz w:val="24"/>
          <w:lang w:val="en-US" w:eastAsia="zh-CN"/>
        </w:rPr>
        <w:t>统计</w:t>
      </w:r>
      <w:r>
        <w:rPr>
          <w:rFonts w:hint="eastAsia"/>
          <w:bCs/>
          <w:color w:val="auto"/>
          <w:kern w:val="0"/>
          <w:sz w:val="24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2" w:firstLineChars="200"/>
        <w:jc w:val="left"/>
        <w:rPr>
          <w:rFonts w:eastAsia="楷体"/>
          <w:b/>
          <w:bCs/>
          <w:color w:val="auto"/>
          <w:kern w:val="0"/>
          <w:sz w:val="24"/>
        </w:rPr>
      </w:pPr>
      <w:r>
        <w:rPr>
          <w:rFonts w:hint="eastAsia" w:eastAsia="楷体"/>
          <w:b/>
          <w:bCs/>
          <w:color w:val="auto"/>
          <w:kern w:val="0"/>
          <w:sz w:val="24"/>
        </w:rPr>
        <w:t>（二）核心课程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应用时间序列分析、统计学导论、Python语言设计、R语言及其应用、统计计算与应用软件、抽样调查、应用多元统计分析、应用回归分析、数据挖掘与分析。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2" w:firstLineChars="200"/>
        <w:jc w:val="left"/>
        <w:rPr>
          <w:rFonts w:eastAsia="楷体"/>
          <w:b/>
          <w:bCs/>
          <w:color w:val="auto"/>
          <w:kern w:val="0"/>
          <w:sz w:val="24"/>
        </w:rPr>
      </w:pPr>
      <w:r>
        <w:rPr>
          <w:rFonts w:hint="eastAsia" w:eastAsia="楷体"/>
          <w:b/>
          <w:bCs/>
          <w:color w:val="auto"/>
          <w:kern w:val="0"/>
          <w:sz w:val="24"/>
        </w:rPr>
        <w:t>（三）主要专业实验（实训）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Times New Roman" w:hAnsi="Times New Roman" w:eastAsia="黑体"/>
          <w:b/>
          <w:bCs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Python语言设计、数据挖掘与分析</w:t>
      </w:r>
      <w:r>
        <w:rPr>
          <w:rFonts w:hint="eastAsia" w:ascii="Times New Roman" w:hAnsi="Times New Roman"/>
          <w:color w:val="auto"/>
          <w:sz w:val="24"/>
          <w:lang w:eastAsia="zh-CN"/>
        </w:rPr>
        <w:t>、</w:t>
      </w:r>
      <w:r>
        <w:rPr>
          <w:rFonts w:ascii="Times New Roman" w:hAnsi="Times New Roman"/>
          <w:color w:val="auto"/>
          <w:sz w:val="24"/>
        </w:rPr>
        <w:t>应用回归分析、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数据采集与清洗、数学模型</w:t>
      </w:r>
      <w:r>
        <w:rPr>
          <w:rFonts w:hint="eastAsia"/>
          <w:bCs/>
          <w:color w:val="auto"/>
          <w:kern w:val="0"/>
          <w:sz w:val="24"/>
        </w:rPr>
        <w:t>等。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黑体"/>
          <w:b/>
          <w:bCs/>
          <w:color w:val="auto"/>
          <w:sz w:val="24"/>
        </w:rPr>
      </w:pPr>
      <w:r>
        <w:rPr>
          <w:rFonts w:ascii="Times New Roman" w:hAnsi="Times New Roman" w:eastAsia="黑体"/>
          <w:b/>
          <w:bCs/>
          <w:color w:val="auto"/>
          <w:sz w:val="24"/>
        </w:rPr>
        <w:t>五、修业年限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基本学制4年，弹性学制</w:t>
      </w:r>
      <w:r>
        <w:rPr>
          <w:rFonts w:hint="eastAsia" w:ascii="Times New Roman" w:hAnsi="Times New Roman"/>
          <w:color w:val="auto"/>
          <w:sz w:val="24"/>
        </w:rPr>
        <w:t>4</w:t>
      </w:r>
      <w:r>
        <w:rPr>
          <w:rFonts w:ascii="Times New Roman" w:hAnsi="Times New Roman"/>
          <w:color w:val="auto"/>
          <w:sz w:val="24"/>
        </w:rPr>
        <w:t>-6年。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黑体"/>
          <w:b/>
          <w:bCs/>
          <w:color w:val="auto"/>
          <w:sz w:val="24"/>
        </w:rPr>
      </w:pPr>
      <w:r>
        <w:rPr>
          <w:rFonts w:ascii="Times New Roman" w:hAnsi="Times New Roman" w:eastAsia="黑体"/>
          <w:b/>
          <w:bCs/>
          <w:color w:val="auto"/>
          <w:sz w:val="24"/>
        </w:rPr>
        <w:t>六、毕业与授予学位规定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思想政治考核合格，在规定的年限内修完本专业人才培养方案规定的学分，方能毕业。取得毕业资格，并符合学校规定的授予学士学位条件，授予理学学士学位。</w:t>
      </w:r>
    </w:p>
    <w:p>
      <w:pPr>
        <w:adjustRightInd w:val="0"/>
        <w:snapToGrid w:val="0"/>
        <w:spacing w:line="360" w:lineRule="auto"/>
        <w:ind w:firstLine="482" w:firstLineChars="200"/>
        <w:rPr>
          <w:rFonts w:ascii="Times New Roman" w:hAnsi="Times New Roman" w:eastAsia="黑体"/>
          <w:b/>
          <w:bCs/>
          <w:color w:val="auto"/>
          <w:sz w:val="24"/>
        </w:rPr>
      </w:pPr>
      <w:r>
        <w:rPr>
          <w:rFonts w:ascii="Times New Roman" w:hAnsi="Times New Roman" w:eastAsia="黑体"/>
          <w:b/>
          <w:bCs/>
          <w:color w:val="auto"/>
          <w:sz w:val="24"/>
        </w:rPr>
        <w:t>七、教学计划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附表1  通识教育课程设置与教学时间分配表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附表2  专业课程设置与教学时间分配表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附表3  独立实践教学环节设置与教学时间分配表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附表4  课程结构体系及学分分配比例表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hint="eastAsia" w:ascii="Times New Roman" w:hAnsi="Times New Roman"/>
          <w:color w:val="auto"/>
          <w:sz w:val="24"/>
        </w:rPr>
        <w:t>附表5  课程设置与毕业要求支撑关系矩阵</w:t>
      </w:r>
    </w:p>
    <w:p>
      <w:pPr>
        <w:adjustRightInd w:val="0"/>
        <w:snapToGrid w:val="0"/>
        <w:spacing w:line="360" w:lineRule="auto"/>
        <w:rPr>
          <w:rFonts w:ascii="Times New Roman" w:hAnsi="Times New Roman"/>
          <w:color w:val="auto"/>
          <w:sz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b/>
          <w:bCs/>
          <w:color w:val="auto"/>
          <w:kern w:val="0"/>
          <w:sz w:val="24"/>
        </w:rPr>
      </w:pPr>
      <w:r>
        <w:rPr>
          <w:rFonts w:hint="eastAsia" w:eastAsia="楷体_GB2312"/>
          <w:b/>
          <w:bCs/>
          <w:color w:val="auto"/>
          <w:kern w:val="0"/>
          <w:sz w:val="22"/>
          <w:szCs w:val="22"/>
        </w:rPr>
        <w:t>附表1</w:t>
      </w:r>
      <w:r>
        <w:rPr>
          <w:rFonts w:eastAsia="楷体_GB2312"/>
          <w:b/>
          <w:bCs/>
          <w:color w:val="auto"/>
          <w:kern w:val="0"/>
          <w:sz w:val="22"/>
          <w:szCs w:val="22"/>
        </w:rPr>
        <w:t xml:space="preserve"> 通识教育课程设置与教学时间分配表</w:t>
      </w:r>
    </w:p>
    <w:tbl>
      <w:tblPr>
        <w:tblStyle w:val="13"/>
        <w:tblW w:w="138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569"/>
        <w:gridCol w:w="614"/>
        <w:gridCol w:w="1143"/>
        <w:gridCol w:w="3024"/>
        <w:gridCol w:w="1417"/>
        <w:gridCol w:w="1276"/>
        <w:gridCol w:w="567"/>
        <w:gridCol w:w="41"/>
        <w:gridCol w:w="732"/>
        <w:gridCol w:w="78"/>
        <w:gridCol w:w="686"/>
        <w:gridCol w:w="44"/>
        <w:gridCol w:w="600"/>
        <w:gridCol w:w="44"/>
        <w:gridCol w:w="587"/>
        <w:gridCol w:w="44"/>
        <w:gridCol w:w="529"/>
        <w:gridCol w:w="17"/>
        <w:gridCol w:w="567"/>
        <w:gridCol w:w="7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课程平台</w:t>
            </w:r>
          </w:p>
        </w:tc>
        <w:tc>
          <w:tcPr>
            <w:tcW w:w="5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课程模块</w:t>
            </w:r>
          </w:p>
        </w:tc>
        <w:tc>
          <w:tcPr>
            <w:tcW w:w="61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课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程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编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号</w:t>
            </w:r>
          </w:p>
        </w:tc>
        <w:tc>
          <w:tcPr>
            <w:tcW w:w="302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楷体_GB2312"/>
                <w:color w:val="auto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楷体_GB2312"/>
                <w:color w:val="auto"/>
                <w:kern w:val="0"/>
                <w:sz w:val="18"/>
                <w:szCs w:val="18"/>
              </w:rPr>
              <w:t>修读要求</w:t>
            </w:r>
          </w:p>
        </w:tc>
        <w:tc>
          <w:tcPr>
            <w:tcW w:w="60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学分</w:t>
            </w:r>
          </w:p>
        </w:tc>
        <w:tc>
          <w:tcPr>
            <w:tcW w:w="28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学时分配</w:t>
            </w:r>
          </w:p>
        </w:tc>
        <w:tc>
          <w:tcPr>
            <w:tcW w:w="52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开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课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学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期</w:t>
            </w:r>
          </w:p>
        </w:tc>
        <w:tc>
          <w:tcPr>
            <w:tcW w:w="58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考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核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方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式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eastAsia="楷体_GB2312"/>
                <w:color w:val="auto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0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总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学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时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授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课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实验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实践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周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学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eastAsia="楷体_GB2312"/>
                <w:color w:val="auto"/>
                <w:kern w:val="0"/>
                <w:sz w:val="18"/>
                <w:szCs w:val="18"/>
              </w:rPr>
              <w:t>时</w:t>
            </w:r>
          </w:p>
        </w:tc>
        <w:tc>
          <w:tcPr>
            <w:tcW w:w="52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8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rFonts w:eastAsia="楷体_GB2312"/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通识教育</w:t>
            </w:r>
          </w:p>
        </w:tc>
        <w:tc>
          <w:tcPr>
            <w:tcW w:w="56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公共基础课</w:t>
            </w: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必修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210010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9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思想道德与法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治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思想政治类（17分）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8" w:after="24" w:afterLines="8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除</w:t>
            </w:r>
            <w:r>
              <w:rPr>
                <w:color w:val="auto"/>
                <w:kern w:val="0"/>
                <w:sz w:val="18"/>
                <w:szCs w:val="18"/>
              </w:rPr>
              <w:t>思想政治教育专业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外</w:t>
            </w: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48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48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考试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2100102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48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48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考试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21001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10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48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48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考试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21001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13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48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48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</w:rPr>
              <w:t>考查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21001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11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48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48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考试</w:t>
            </w: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2100106XZZ1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0.3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 w:firstLine="180" w:firstLineChars="100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考查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5"/>
                <w:szCs w:val="15"/>
              </w:rPr>
              <w:t>专题讲座形式，每学期4讲，每讲2学时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2100106XZZ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0.3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考查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2100106XZZ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0.3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考查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2100106XZZ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0.3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考查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2100106XZZ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0.3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5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考查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2100106XZZ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0.5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考查</w:t>
            </w: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2200101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大学英语视听说Ⅰ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外语类（9分）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8" w:after="24" w:afterLines="8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考查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220010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大学英语读写译Ⅰ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考试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220010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大学英语视听说Ⅱ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考查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2200104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大学英语读写译Ⅱ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考试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ind w:left="-82" w:leftChars="-39" w:right="-103" w:rightChars="-49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2200117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瓷言茶语</w:t>
            </w: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ind w:left="31" w:leftChars="15" w:right="31" w:rightChars="15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ind w:left="31" w:leftChars="15" w:right="31" w:rightChars="15"/>
              <w:jc w:val="center"/>
              <w:rPr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ind w:left="31" w:leftChars="15" w:right="31" w:rightChars="15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ind w:left="31" w:leftChars="15" w:right="31" w:rightChars="15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ind w:left="31" w:leftChars="15" w:right="31" w:rightChars="15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ind w:left="31" w:leftChars="15" w:right="31" w:rightChars="15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ind w:left="31" w:leftChars="15" w:right="31" w:rightChars="15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ind w:left="31" w:leftChars="15" w:right="31" w:rightChars="15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ind w:left="31" w:leftChars="15" w:right="31" w:rightChars="15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ind w:left="31" w:leftChars="15" w:right="31" w:rightChars="15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2300101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大学体育Ⅰ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体育与健康类（4分）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8" w:after="24" w:afterLines="8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体育教育专业学生外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，其他专业必修</w:t>
            </w: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24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考试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2300102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大学体育Ⅱ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24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考试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2300103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大学体育Ⅲ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24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考试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2300104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大学体育Ⅳ</w:t>
            </w: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24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考试</w:t>
            </w: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250010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国家安全与军事理论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国防教育类（4分）</w:t>
            </w:r>
          </w:p>
        </w:tc>
        <w:tc>
          <w:tcPr>
            <w:tcW w:w="127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8" w:after="24" w:afterLines="8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所有专业</w:t>
            </w:r>
            <w:r>
              <w:rPr>
                <w:color w:val="auto"/>
                <w:kern w:val="0"/>
                <w:sz w:val="18"/>
                <w:szCs w:val="18"/>
              </w:rPr>
              <w:t>必修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24" w:beforeLines="8" w:after="24" w:afterLines="8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</w:rPr>
              <w:t>1</w:t>
            </w:r>
            <w:r>
              <w:rPr>
                <w:color w:val="auto"/>
                <w:kern w:val="0"/>
                <w:sz w:val="18"/>
                <w:szCs w:val="18"/>
                <w:highlight w:val="yellow"/>
              </w:rPr>
              <w:t>/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考查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5"/>
                <w:szCs w:val="15"/>
              </w:rPr>
              <w:t>2周，军训期间开设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250010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4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军事技能训练</w:t>
            </w: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所有专业</w:t>
            </w:r>
            <w:r>
              <w:rPr>
                <w:color w:val="auto"/>
                <w:kern w:val="0"/>
                <w:sz w:val="18"/>
                <w:szCs w:val="18"/>
              </w:rPr>
              <w:t>必修</w:t>
            </w: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2周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2周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考查</w:t>
            </w: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2800101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综合类（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5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分）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理工类必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修，其他类自主设置</w:t>
            </w: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2800103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大学生心理健康教育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所有专业必修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</w:rPr>
              <w:t>1</w:t>
            </w:r>
            <w:r>
              <w:rPr>
                <w:color w:val="auto"/>
                <w:kern w:val="0"/>
                <w:sz w:val="18"/>
                <w:szCs w:val="18"/>
                <w:highlight w:val="yellow"/>
              </w:rPr>
              <w:t>/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2700105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</w:rPr>
              <w:t>劳动教育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所有专业必修</w:t>
            </w: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32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24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创新创业课</w:t>
            </w: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必修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2700101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大学生创新创业教育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创新创业类（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</w:rPr>
              <w:t>3</w:t>
            </w:r>
            <w:r>
              <w:rPr>
                <w:rFonts w:hint="eastAsia"/>
                <w:color w:val="auto"/>
                <w:kern w:val="0"/>
                <w:sz w:val="18"/>
                <w:szCs w:val="18"/>
              </w:rPr>
              <w:t>分）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8" w:after="24" w:afterLines="8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所有专业必修</w:t>
            </w: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</w:rPr>
              <w:t>14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考查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2700102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职业生涯规划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16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16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考查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2700103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就业创业指导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16</w:t>
            </w:r>
          </w:p>
        </w:tc>
        <w:tc>
          <w:tcPr>
            <w:tcW w:w="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16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0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1</w:t>
            </w:r>
          </w:p>
        </w:tc>
        <w:tc>
          <w:tcPr>
            <w:tcW w:w="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6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考查</w:t>
            </w:r>
          </w:p>
        </w:tc>
        <w:tc>
          <w:tcPr>
            <w:tcW w:w="7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公共选修课</w:t>
            </w:r>
          </w:p>
        </w:tc>
        <w:tc>
          <w:tcPr>
            <w:tcW w:w="61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选修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人文素养系列课程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公共选修类</w:t>
            </w: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</w:rPr>
              <w:t>（6分）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24" w:beforeLines="8" w:after="24" w:afterLines="8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选修</w:t>
            </w:r>
          </w:p>
        </w:tc>
        <w:tc>
          <w:tcPr>
            <w:tcW w:w="60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73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</w:rPr>
              <w:t>96</w:t>
            </w:r>
          </w:p>
        </w:tc>
        <w:tc>
          <w:tcPr>
            <w:tcW w:w="2612" w:type="dxa"/>
            <w:gridSpan w:val="8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5"/>
                <w:szCs w:val="15"/>
              </w:rPr>
            </w:pPr>
            <w:r>
              <w:rPr>
                <w:color w:val="auto"/>
                <w:kern w:val="0"/>
                <w:sz w:val="15"/>
                <w:szCs w:val="15"/>
              </w:rPr>
              <w:t>由学校统一设置，学生任选；每位学生至少选修2类非本专业</w:t>
            </w:r>
            <w:r>
              <w:rPr>
                <w:rFonts w:hint="eastAsia"/>
                <w:color w:val="auto"/>
                <w:kern w:val="0"/>
                <w:sz w:val="15"/>
                <w:szCs w:val="15"/>
                <w:highlight w:val="yellow"/>
              </w:rPr>
              <w:t>6</w:t>
            </w:r>
            <w:r>
              <w:rPr>
                <w:color w:val="auto"/>
                <w:kern w:val="0"/>
                <w:sz w:val="15"/>
                <w:szCs w:val="15"/>
              </w:rPr>
              <w:t>学分的课程。理工科类学生须选修至少2学分人文社科类课程；文科类学生须选修至少2学分自然科学类课程；非艺术类学生须选修2学分公共艺术课程</w:t>
            </w: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考查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科学素养系列课程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gridSpan w:val="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考查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艺术素养系列课程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gridSpan w:val="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eastAsia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健康生活系列课程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612" w:type="dxa"/>
            <w:gridSpan w:val="8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5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</w:rPr>
              <w:t>考查</w:t>
            </w:r>
          </w:p>
        </w:tc>
        <w:tc>
          <w:tcPr>
            <w:tcW w:w="70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31" w:beforeLines="10" w:after="31" w:afterLines="10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合计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832+2周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710</w:t>
            </w:r>
          </w:p>
        </w:tc>
        <w:tc>
          <w:tcPr>
            <w:tcW w:w="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122+2周</w:t>
            </w:r>
          </w:p>
        </w:tc>
        <w:tc>
          <w:tcPr>
            <w:tcW w:w="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b/>
          <w:bCs/>
          <w:color w:val="auto"/>
          <w:kern w:val="0"/>
          <w:sz w:val="24"/>
        </w:rPr>
      </w:pP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color w:val="auto"/>
          <w:kern w:val="0"/>
          <w:sz w:val="18"/>
          <w:szCs w:val="18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color w:val="auto"/>
          <w:kern w:val="0"/>
          <w:sz w:val="18"/>
          <w:szCs w:val="18"/>
        </w:rPr>
        <w:t>注：表头文字为黑体，五号；表内中文为宋体，数字及英文为Times New Roman，小五；首行缩进2字符</w:t>
      </w:r>
    </w:p>
    <w:p>
      <w:pPr>
        <w:widowControl/>
        <w:adjustRightInd w:val="0"/>
        <w:snapToGrid w:val="0"/>
        <w:spacing w:line="360" w:lineRule="auto"/>
        <w:jc w:val="center"/>
        <w:rPr>
          <w:rFonts w:eastAsia="楷体_GB2312"/>
          <w:b/>
          <w:color w:val="auto"/>
          <w:szCs w:val="18"/>
        </w:rPr>
      </w:pPr>
      <w:r>
        <w:rPr>
          <w:rFonts w:eastAsia="楷体_GB2312"/>
          <w:b/>
          <w:color w:val="auto"/>
          <w:szCs w:val="18"/>
        </w:rPr>
        <w:t>附表2  专业教育课程设置与教学时间分配表</w:t>
      </w:r>
    </w:p>
    <w:tbl>
      <w:tblPr>
        <w:tblStyle w:val="13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450"/>
        <w:gridCol w:w="449"/>
        <w:gridCol w:w="905"/>
        <w:gridCol w:w="2171"/>
        <w:gridCol w:w="586"/>
        <w:gridCol w:w="905"/>
        <w:gridCol w:w="699"/>
        <w:gridCol w:w="641"/>
        <w:gridCol w:w="534"/>
        <w:gridCol w:w="711"/>
        <w:gridCol w:w="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4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eastAsia="楷体_GB2312"/>
                <w:color w:val="auto"/>
                <w:sz w:val="18"/>
                <w:szCs w:val="18"/>
              </w:rPr>
              <w:t>课程平台</w:t>
            </w:r>
          </w:p>
        </w:tc>
        <w:tc>
          <w:tcPr>
            <w:tcW w:w="4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eastAsia="楷体_GB2312"/>
                <w:color w:val="auto"/>
                <w:sz w:val="18"/>
                <w:szCs w:val="18"/>
              </w:rPr>
              <w:t>课程模块</w:t>
            </w:r>
          </w:p>
        </w:tc>
        <w:tc>
          <w:tcPr>
            <w:tcW w:w="44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eastAsia="楷体_GB2312"/>
                <w:color w:val="auto"/>
                <w:sz w:val="18"/>
                <w:szCs w:val="18"/>
              </w:rPr>
              <w:t>课程性质</w:t>
            </w:r>
          </w:p>
        </w:tc>
        <w:tc>
          <w:tcPr>
            <w:tcW w:w="90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eastAsia="楷体_GB2312"/>
                <w:color w:val="auto"/>
                <w:sz w:val="18"/>
                <w:szCs w:val="18"/>
              </w:rPr>
              <w:t>课程</w:t>
            </w:r>
          </w:p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eastAsia="楷体_GB2312"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217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eastAsia="楷体_GB2312"/>
                <w:color w:val="auto"/>
                <w:sz w:val="18"/>
                <w:szCs w:val="18"/>
              </w:rPr>
              <w:t>课 程 名 称</w:t>
            </w:r>
          </w:p>
        </w:tc>
        <w:tc>
          <w:tcPr>
            <w:tcW w:w="5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eastAsia="楷体_GB2312"/>
                <w:color w:val="auto"/>
                <w:sz w:val="18"/>
                <w:szCs w:val="18"/>
              </w:rPr>
              <w:t>学分</w:t>
            </w:r>
          </w:p>
        </w:tc>
        <w:tc>
          <w:tcPr>
            <w:tcW w:w="277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eastAsia="楷体_GB2312"/>
                <w:color w:val="auto"/>
                <w:sz w:val="18"/>
                <w:szCs w:val="18"/>
              </w:rPr>
              <w:t>学时分配</w:t>
            </w:r>
          </w:p>
        </w:tc>
        <w:tc>
          <w:tcPr>
            <w:tcW w:w="71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eastAsia="楷体_GB2312"/>
                <w:color w:val="auto"/>
                <w:sz w:val="18"/>
                <w:szCs w:val="18"/>
              </w:rPr>
              <w:t>开</w:t>
            </w:r>
          </w:p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eastAsia="楷体_GB2312"/>
                <w:color w:val="auto"/>
                <w:sz w:val="18"/>
                <w:szCs w:val="18"/>
              </w:rPr>
              <w:t>课</w:t>
            </w:r>
          </w:p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eastAsia="楷体_GB2312"/>
                <w:color w:val="auto"/>
                <w:sz w:val="18"/>
                <w:szCs w:val="18"/>
              </w:rPr>
              <w:t>学</w:t>
            </w:r>
          </w:p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eastAsia="楷体_GB2312"/>
                <w:color w:val="auto"/>
                <w:sz w:val="18"/>
                <w:szCs w:val="18"/>
              </w:rPr>
              <w:t>期</w:t>
            </w:r>
          </w:p>
        </w:tc>
        <w:tc>
          <w:tcPr>
            <w:tcW w:w="74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eastAsia="楷体_GB2312"/>
                <w:color w:val="auto"/>
                <w:sz w:val="18"/>
                <w:szCs w:val="18"/>
              </w:rPr>
              <w:t>考</w:t>
            </w:r>
          </w:p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eastAsia="楷体_GB2312"/>
                <w:color w:val="auto"/>
                <w:sz w:val="18"/>
                <w:szCs w:val="18"/>
              </w:rPr>
              <w:t>核</w:t>
            </w:r>
          </w:p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eastAsia="楷体_GB2312"/>
                <w:color w:val="auto"/>
                <w:sz w:val="18"/>
                <w:szCs w:val="18"/>
              </w:rPr>
              <w:t>方</w:t>
            </w:r>
          </w:p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eastAsia="楷体_GB2312"/>
                <w:color w:val="auto"/>
                <w:sz w:val="18"/>
                <w:szCs w:val="18"/>
              </w:rPr>
              <w:t>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</w:p>
        </w:tc>
        <w:tc>
          <w:tcPr>
            <w:tcW w:w="21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</w:p>
        </w:tc>
        <w:tc>
          <w:tcPr>
            <w:tcW w:w="58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eastAsia="楷体_GB2312"/>
                <w:color w:val="auto"/>
                <w:sz w:val="18"/>
                <w:szCs w:val="18"/>
              </w:rPr>
              <w:t>总</w:t>
            </w:r>
          </w:p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eastAsia="楷体_GB2312"/>
                <w:color w:val="auto"/>
                <w:sz w:val="18"/>
                <w:szCs w:val="18"/>
              </w:rPr>
              <w:t>学</w:t>
            </w:r>
          </w:p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eastAsia="楷体_GB2312"/>
                <w:color w:val="auto"/>
                <w:sz w:val="18"/>
                <w:szCs w:val="18"/>
              </w:rPr>
              <w:t>时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eastAsia="楷体_GB2312"/>
                <w:color w:val="auto"/>
                <w:sz w:val="18"/>
                <w:szCs w:val="18"/>
              </w:rPr>
              <w:t>授课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eastAsia="楷体_GB2312"/>
                <w:color w:val="auto"/>
                <w:sz w:val="18"/>
                <w:szCs w:val="18"/>
              </w:rPr>
              <w:t>实验实践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  <w:r>
              <w:rPr>
                <w:rFonts w:eastAsia="楷体_GB2312"/>
                <w:color w:val="auto"/>
                <w:sz w:val="18"/>
                <w:szCs w:val="18"/>
              </w:rPr>
              <w:t>周学时</w:t>
            </w:r>
          </w:p>
        </w:tc>
        <w:tc>
          <w:tcPr>
            <w:tcW w:w="71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楷体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专业教育</w:t>
            </w:r>
          </w:p>
        </w:tc>
        <w:tc>
          <w:tcPr>
            <w:tcW w:w="4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学科专业基础课</w:t>
            </w:r>
          </w:p>
        </w:tc>
        <w:tc>
          <w:tcPr>
            <w:tcW w:w="44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必修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0711101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数学分析</w:t>
            </w:r>
            <w:r>
              <w:rPr>
                <w:color w:val="auto"/>
                <w:sz w:val="18"/>
                <w:szCs w:val="18"/>
                <w:highlight w:val="yellow"/>
              </w:rPr>
              <w:t>Ⅰ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96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96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071110</w:t>
            </w: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7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高等代数</w:t>
            </w: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与解析几何</w:t>
            </w:r>
            <w:r>
              <w:rPr>
                <w:color w:val="auto"/>
                <w:sz w:val="18"/>
                <w:szCs w:val="18"/>
                <w:highlight w:val="yellow"/>
              </w:rPr>
              <w:t>Ⅰ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4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64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64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4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1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0711102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数学分析</w:t>
            </w:r>
            <w:r>
              <w:rPr>
                <w:color w:val="auto"/>
                <w:sz w:val="18"/>
                <w:szCs w:val="18"/>
                <w:highlight w:val="yellow"/>
              </w:rPr>
              <w:t>Ⅱ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64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64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071110</w:t>
            </w: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8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高等代数</w:t>
            </w: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与解析几何</w:t>
            </w:r>
            <w:r>
              <w:rPr>
                <w:color w:val="auto"/>
                <w:sz w:val="18"/>
                <w:szCs w:val="18"/>
                <w:highlight w:val="yellow"/>
              </w:rPr>
              <w:t>Ⅱ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64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64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2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0712103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数据库原理及应用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</w:rPr>
              <w:t>2.5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32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2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0711103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数学分析</w:t>
            </w:r>
            <w:r>
              <w:rPr>
                <w:color w:val="auto"/>
                <w:sz w:val="18"/>
                <w:szCs w:val="18"/>
                <w:highlight w:val="yellow"/>
              </w:rPr>
              <w:t>Ⅲ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64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64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0712101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概率论与数理统计Ⅰ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64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64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0712102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概率论与数理统计Ⅱ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64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64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专业核心课</w:t>
            </w:r>
          </w:p>
        </w:tc>
        <w:tc>
          <w:tcPr>
            <w:tcW w:w="44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必修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0715103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Python语言设计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64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32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32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3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0715104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R语言及其应用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2.5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32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 w:eastAsia="宋体" w:cs="Times New Roman"/>
                <w:bCs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</w:t>
            </w: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highlight w:val="yellow"/>
              </w:rPr>
              <w:t>5</w:t>
            </w: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1</w:t>
            </w: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11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数据挖掘与分析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32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4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bCs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</w:t>
            </w: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highlight w:val="yellow"/>
              </w:rPr>
              <w:t>5</w:t>
            </w: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105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统计计算与应用软件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2.5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32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0715102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统计学导论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Calibri" w:hAnsi="Calibri" w:eastAsia="宋体" w:cs="Times New Roman"/>
                <w:bCs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071510</w:t>
            </w: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6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抽样调查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5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0715101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应用时间序列分析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6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bCs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071510</w:t>
            </w: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7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应用多元统计分析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</w:rPr>
              <w:t>3</w:t>
            </w:r>
            <w:r>
              <w:rPr>
                <w:color w:val="auto"/>
                <w:sz w:val="18"/>
                <w:szCs w:val="18"/>
                <w:highlight w:val="yellow"/>
              </w:rPr>
              <w:t>.5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</w:rPr>
              <w:t>64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</w:rPr>
              <w:t>4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Cs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071510</w:t>
            </w: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8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应用回归分析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2.5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32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6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专业方向课</w:t>
            </w:r>
          </w:p>
        </w:tc>
        <w:tc>
          <w:tcPr>
            <w:tcW w:w="44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方向一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071310</w:t>
            </w: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5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数据清洗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32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5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bCs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0713101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分布式数据库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64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32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32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4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6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071310</w:t>
            </w: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4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数学模型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64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32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32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4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 w:eastAsia="宋体" w:cs="Times New Roman"/>
                <w:bCs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</w:t>
            </w: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3106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大数据可视化分析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</w:rPr>
              <w:t>1.5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</w:rPr>
              <w:t>0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</w:rPr>
              <w:t>48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12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方向二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Cs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071310</w:t>
            </w: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7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微观经济学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48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0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bCs/>
                <w:color w:val="auto"/>
                <w:kern w:val="0"/>
                <w:sz w:val="18"/>
                <w:szCs w:val="18"/>
                <w:highlight w:val="yellow"/>
                <w:lang w:eastAsia="zh-CN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071310</w:t>
            </w: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8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宏观经济学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48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0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bCs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07131</w:t>
            </w: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27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大数据实务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64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0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64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4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bCs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07131</w:t>
            </w: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28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国民经济统计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1.5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24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24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0</w:t>
            </w:r>
          </w:p>
        </w:tc>
        <w:tc>
          <w:tcPr>
            <w:tcW w:w="53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6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专业拓展课</w:t>
            </w:r>
          </w:p>
        </w:tc>
        <w:tc>
          <w:tcPr>
            <w:tcW w:w="449" w:type="dxa"/>
            <w:vMerge w:val="restart"/>
            <w:vAlign w:val="center"/>
          </w:tcPr>
          <w:p>
            <w:pPr>
              <w:spacing w:line="240" w:lineRule="exac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选修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0714101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投资与决策分析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32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bCs/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071410</w:t>
            </w: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9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大数据技术概论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16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32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5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kern w:val="0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0714102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数据采集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32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5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0714104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数据</w:t>
            </w: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仓库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32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0714105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试验设计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32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bCs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lang w:val="en-US" w:eastAsia="zh-CN"/>
              </w:rPr>
              <w:t>0714010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机器学习基础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16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071410</w:t>
            </w: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6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非参数统计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32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12</w:t>
            </w: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Times New Roman"/>
                <w:bCs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0714107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运筹学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32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6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44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highlight w:val="yellow"/>
                <w:lang w:eastAsia="zh-CN"/>
              </w:rPr>
            </w:pPr>
            <w:r>
              <w:rPr>
                <w:bCs/>
                <w:color w:val="auto"/>
                <w:kern w:val="0"/>
                <w:sz w:val="18"/>
                <w:szCs w:val="18"/>
                <w:highlight w:val="yellow"/>
              </w:rPr>
              <w:t>071410</w:t>
            </w:r>
            <w:r>
              <w:rPr>
                <w:rFonts w:hint="eastAsia"/>
                <w:bCs/>
                <w:color w:val="auto"/>
                <w:kern w:val="0"/>
                <w:sz w:val="18"/>
                <w:szCs w:val="18"/>
                <w:highlight w:val="yellow"/>
                <w:lang w:val="en-US" w:eastAsia="zh-CN"/>
              </w:rPr>
              <w:t>8</w:t>
            </w:r>
          </w:p>
        </w:tc>
        <w:tc>
          <w:tcPr>
            <w:tcW w:w="2171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证券投资分析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2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48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16</w:t>
            </w: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32</w:t>
            </w: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auto"/>
                <w:sz w:val="18"/>
                <w:szCs w:val="18"/>
                <w:highlight w:val="yellow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12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74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kern w:val="0"/>
                <w:sz w:val="18"/>
                <w:szCs w:val="18"/>
                <w:highlight w:val="yellow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0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97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合计</w:t>
            </w:r>
          </w:p>
        </w:tc>
        <w:tc>
          <w:tcPr>
            <w:tcW w:w="586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905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408</w:t>
            </w:r>
          </w:p>
          <w:p>
            <w:pPr>
              <w:spacing w:line="240" w:lineRule="exact"/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（1368）</w:t>
            </w:r>
          </w:p>
        </w:tc>
        <w:tc>
          <w:tcPr>
            <w:tcW w:w="699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4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741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>
      <w:pPr>
        <w:spacing w:beforeLines="50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注：</w:t>
      </w:r>
      <w:r>
        <w:rPr>
          <w:rFonts w:hint="eastAsia"/>
          <w:color w:val="auto"/>
          <w:sz w:val="18"/>
          <w:szCs w:val="18"/>
        </w:rPr>
        <w:t>专业方向课中两个方向必修其一；</w:t>
      </w:r>
      <w:r>
        <w:rPr>
          <w:color w:val="auto"/>
          <w:sz w:val="18"/>
          <w:szCs w:val="18"/>
        </w:rPr>
        <w:t>专业拓展课任选</w:t>
      </w:r>
      <w:r>
        <w:rPr>
          <w:rFonts w:hint="eastAsia"/>
          <w:color w:val="auto"/>
          <w:sz w:val="18"/>
          <w:szCs w:val="18"/>
          <w:lang w:val="en-US" w:eastAsia="zh-CN"/>
        </w:rPr>
        <w:t>4</w:t>
      </w:r>
      <w:r>
        <w:rPr>
          <w:color w:val="auto"/>
          <w:sz w:val="18"/>
          <w:szCs w:val="18"/>
        </w:rPr>
        <w:t>门，共</w:t>
      </w:r>
      <w:r>
        <w:rPr>
          <w:rFonts w:hint="eastAsia"/>
          <w:color w:val="auto"/>
          <w:sz w:val="18"/>
          <w:szCs w:val="18"/>
          <w:lang w:val="en-US" w:eastAsia="zh-CN"/>
        </w:rPr>
        <w:t>8</w:t>
      </w:r>
      <w:r>
        <w:rPr>
          <w:color w:val="auto"/>
          <w:sz w:val="18"/>
          <w:szCs w:val="18"/>
        </w:rPr>
        <w:t>学分。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楷体_GB2312"/>
          <w:b/>
          <w:color w:val="auto"/>
        </w:rPr>
      </w:pPr>
      <w:r>
        <w:rPr>
          <w:rFonts w:ascii="Times New Roman" w:hAnsi="Times New Roman" w:eastAsia="楷体_GB2312"/>
          <w:b/>
          <w:color w:val="auto"/>
        </w:rPr>
        <w:t>附表3  独立实践教学环节设置与教学时间分配表</w:t>
      </w:r>
    </w:p>
    <w:tbl>
      <w:tblPr>
        <w:tblStyle w:val="13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062"/>
        <w:gridCol w:w="1607"/>
        <w:gridCol w:w="1701"/>
        <w:gridCol w:w="2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 w:eastAsia="楷体_GB2312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color w:val="auto"/>
                <w:sz w:val="18"/>
                <w:szCs w:val="18"/>
              </w:rPr>
              <w:t>独立实践教学环节名称</w:t>
            </w:r>
          </w:p>
        </w:tc>
        <w:tc>
          <w:tcPr>
            <w:tcW w:w="1062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 w:eastAsia="楷体_GB2312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color w:val="auto"/>
                <w:sz w:val="18"/>
                <w:szCs w:val="18"/>
              </w:rPr>
              <w:t>学分</w:t>
            </w:r>
          </w:p>
        </w:tc>
        <w:tc>
          <w:tcPr>
            <w:tcW w:w="1607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 w:eastAsia="楷体_GB2312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color w:val="auto"/>
                <w:sz w:val="18"/>
                <w:szCs w:val="18"/>
              </w:rPr>
              <w:t>实验时数/周数</w:t>
            </w:r>
          </w:p>
        </w:tc>
        <w:tc>
          <w:tcPr>
            <w:tcW w:w="1701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 w:eastAsia="楷体_GB2312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color w:val="auto"/>
                <w:sz w:val="18"/>
                <w:szCs w:val="18"/>
              </w:rPr>
              <w:t>课程性质</w:t>
            </w:r>
          </w:p>
        </w:tc>
        <w:tc>
          <w:tcPr>
            <w:tcW w:w="2233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 w:eastAsia="楷体_GB2312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color w:val="auto"/>
                <w:sz w:val="18"/>
                <w:szCs w:val="18"/>
              </w:rPr>
              <w:t>开设学期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军事技能训练</w:t>
            </w:r>
          </w:p>
        </w:tc>
        <w:tc>
          <w:tcPr>
            <w:tcW w:w="1062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（重复）</w:t>
            </w:r>
          </w:p>
        </w:tc>
        <w:tc>
          <w:tcPr>
            <w:tcW w:w="1607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2周</w:t>
            </w:r>
          </w:p>
        </w:tc>
        <w:tc>
          <w:tcPr>
            <w:tcW w:w="1701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2233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劳动教育课</w:t>
            </w:r>
          </w:p>
        </w:tc>
        <w:tc>
          <w:tcPr>
            <w:tcW w:w="1062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重复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607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32课时</w:t>
            </w:r>
          </w:p>
        </w:tc>
        <w:tc>
          <w:tcPr>
            <w:tcW w:w="1701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2233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1-7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思想政治理论课社会实践</w:t>
            </w:r>
          </w:p>
        </w:tc>
        <w:tc>
          <w:tcPr>
            <w:tcW w:w="1062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607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4周</w:t>
            </w:r>
          </w:p>
        </w:tc>
        <w:tc>
          <w:tcPr>
            <w:tcW w:w="1701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2233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暑期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color w:val="auto"/>
                <w:kern w:val="0"/>
                <w:sz w:val="18"/>
                <w:szCs w:val="18"/>
              </w:rPr>
              <w:t>毕业设计（论文）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+</w:t>
            </w:r>
            <w:r>
              <w:rPr>
                <w:color w:val="auto"/>
                <w:kern w:val="0"/>
                <w:sz w:val="18"/>
                <w:szCs w:val="18"/>
              </w:rPr>
              <w:t>毕业实习</w:t>
            </w:r>
          </w:p>
        </w:tc>
        <w:tc>
          <w:tcPr>
            <w:tcW w:w="1062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607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14</w:t>
            </w:r>
            <w:r>
              <w:rPr>
                <w:color w:val="auto"/>
                <w:kern w:val="0"/>
                <w:sz w:val="18"/>
                <w:szCs w:val="18"/>
              </w:rPr>
              <w:t>周</w:t>
            </w:r>
          </w:p>
        </w:tc>
        <w:tc>
          <w:tcPr>
            <w:tcW w:w="1701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必修</w:t>
            </w:r>
          </w:p>
        </w:tc>
        <w:tc>
          <w:tcPr>
            <w:tcW w:w="2233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062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607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33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1" w:type="dxa"/>
            <w:gridSpan w:val="5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专业技能测试训练（集中实践教学）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1" w:type="dxa"/>
            <w:gridSpan w:val="5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大数据方向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 w:eastAsia="楷体_GB2312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bCs/>
                <w:color w:val="auto"/>
                <w:sz w:val="18"/>
                <w:szCs w:val="18"/>
              </w:rPr>
              <w:t>项目</w:t>
            </w:r>
          </w:p>
        </w:tc>
        <w:tc>
          <w:tcPr>
            <w:tcW w:w="1062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 w:eastAsia="楷体_GB2312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bCs/>
                <w:color w:val="auto"/>
                <w:sz w:val="18"/>
                <w:szCs w:val="18"/>
              </w:rPr>
              <w:t>学分</w:t>
            </w:r>
          </w:p>
        </w:tc>
        <w:tc>
          <w:tcPr>
            <w:tcW w:w="1607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 w:eastAsia="楷体_GB2312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bCs/>
                <w:color w:val="auto"/>
                <w:sz w:val="18"/>
                <w:szCs w:val="18"/>
              </w:rPr>
              <w:t>实验时数/周数</w:t>
            </w:r>
          </w:p>
        </w:tc>
        <w:tc>
          <w:tcPr>
            <w:tcW w:w="1701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 w:eastAsia="楷体_GB2312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bCs/>
                <w:color w:val="auto"/>
                <w:sz w:val="18"/>
                <w:szCs w:val="18"/>
              </w:rPr>
              <w:t>课程性质</w:t>
            </w:r>
          </w:p>
        </w:tc>
        <w:tc>
          <w:tcPr>
            <w:tcW w:w="2233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 w:eastAsia="楷体_GB2312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bCs/>
                <w:color w:val="auto"/>
                <w:sz w:val="18"/>
                <w:szCs w:val="18"/>
              </w:rPr>
              <w:t>开设学期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</w:rPr>
              <w:t>数据库原理及应用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6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1</w:t>
            </w:r>
            <w:r>
              <w:rPr>
                <w:color w:val="auto"/>
                <w:sz w:val="18"/>
                <w:szCs w:val="18"/>
                <w:highlight w:val="yellow"/>
              </w:rPr>
              <w:t>周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必修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Python语言设计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6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1</w:t>
            </w:r>
            <w:r>
              <w:rPr>
                <w:color w:val="auto"/>
                <w:sz w:val="18"/>
                <w:szCs w:val="18"/>
                <w:highlight w:val="yellow"/>
              </w:rPr>
              <w:t>周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必修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数据挖掘与分析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highlight w:val="yellow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1</w:t>
            </w:r>
          </w:p>
        </w:tc>
        <w:tc>
          <w:tcPr>
            <w:tcW w:w="16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1</w:t>
            </w:r>
            <w:r>
              <w:rPr>
                <w:color w:val="auto"/>
                <w:sz w:val="18"/>
                <w:szCs w:val="18"/>
                <w:highlight w:val="yellow"/>
              </w:rPr>
              <w:t>周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必修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数据采集与清洗实训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6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1</w:t>
            </w:r>
            <w:r>
              <w:rPr>
                <w:color w:val="auto"/>
                <w:sz w:val="18"/>
                <w:szCs w:val="18"/>
                <w:highlight w:val="yellow"/>
              </w:rPr>
              <w:t>周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必修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</w:rPr>
              <w:t>应用回归分析</w:t>
            </w: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课程设计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0.5</w:t>
            </w:r>
          </w:p>
        </w:tc>
        <w:tc>
          <w:tcPr>
            <w:tcW w:w="16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0.5</w:t>
            </w:r>
            <w:r>
              <w:rPr>
                <w:color w:val="auto"/>
                <w:sz w:val="18"/>
                <w:szCs w:val="18"/>
                <w:highlight w:val="yellow"/>
              </w:rPr>
              <w:t>周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必修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highlight w:val="yellow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数学模型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0.5</w:t>
            </w:r>
          </w:p>
        </w:tc>
        <w:tc>
          <w:tcPr>
            <w:tcW w:w="16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0.5</w:t>
            </w:r>
            <w:r>
              <w:rPr>
                <w:color w:val="auto"/>
                <w:sz w:val="18"/>
                <w:szCs w:val="18"/>
                <w:highlight w:val="yellow"/>
              </w:rPr>
              <w:t>周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必修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  <w:highlight w:val="yellow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pacing w:line="240" w:lineRule="exact"/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社会调查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07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1周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必修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素质教育及第二课堂（包含三下乡、社会调查、社会服务、学生科技创新实践、学科竞赛、社会实践等成果）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寒暑假、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课余时间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经济统计方向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数据库原理及应用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6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color w:val="auto"/>
                <w:sz w:val="18"/>
                <w:szCs w:val="18"/>
              </w:rPr>
              <w:t>周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必修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Python语言设计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6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color w:val="auto"/>
                <w:sz w:val="18"/>
                <w:szCs w:val="18"/>
              </w:rPr>
              <w:t>周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必修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数据挖掘与分析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color w:val="auto"/>
                <w:sz w:val="18"/>
                <w:szCs w:val="18"/>
              </w:rPr>
              <w:t>周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必修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highlight w:val="yellow"/>
                <w:lang w:val="en-US" w:eastAsia="zh-CN"/>
              </w:rPr>
              <w:t>投资与决策分析实训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6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1</w:t>
            </w:r>
            <w:r>
              <w:rPr>
                <w:color w:val="auto"/>
                <w:sz w:val="18"/>
                <w:szCs w:val="18"/>
                <w:highlight w:val="yellow"/>
              </w:rPr>
              <w:t>周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必修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应用回归分析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课程设计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0.5</w:t>
            </w:r>
          </w:p>
        </w:tc>
        <w:tc>
          <w:tcPr>
            <w:tcW w:w="16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0.5</w:t>
            </w:r>
            <w:r>
              <w:rPr>
                <w:color w:val="auto"/>
                <w:sz w:val="18"/>
                <w:szCs w:val="18"/>
              </w:rPr>
              <w:t>周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必修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大数据实务实训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0.5</w:t>
            </w:r>
          </w:p>
        </w:tc>
        <w:tc>
          <w:tcPr>
            <w:tcW w:w="16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yellow"/>
                <w:lang w:val="en-US" w:eastAsia="zh-CN"/>
              </w:rPr>
              <w:t>0.5</w:t>
            </w:r>
            <w:r>
              <w:rPr>
                <w:color w:val="auto"/>
                <w:sz w:val="18"/>
                <w:szCs w:val="18"/>
                <w:highlight w:val="yellow"/>
              </w:rPr>
              <w:t>周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必修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  <w:highlight w:val="yellow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社会调查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60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1周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必修</w:t>
            </w: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创新实践</w:t>
            </w:r>
            <w:r>
              <w:rPr>
                <w:color w:val="auto"/>
                <w:sz w:val="18"/>
                <w:szCs w:val="18"/>
              </w:rPr>
              <w:t>及第二课堂（包含三下乡、社会调查、社会服务、学生科技创新实践、学科竞赛、社会实践等成果）</w:t>
            </w:r>
          </w:p>
        </w:tc>
        <w:tc>
          <w:tcPr>
            <w:tcW w:w="1062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0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233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寒暑假、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sz w:val="18"/>
                <w:szCs w:val="18"/>
              </w:rPr>
              <w:t>课余时间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1062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607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周+32学时</w:t>
            </w:r>
          </w:p>
        </w:tc>
        <w:tc>
          <w:tcPr>
            <w:tcW w:w="1701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33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楷体_GB2312"/>
          <w:b/>
          <w:color w:val="auto"/>
        </w:rPr>
      </w:pPr>
    </w:p>
    <w:p>
      <w:pPr>
        <w:jc w:val="left"/>
        <w:rPr>
          <w:rFonts w:ascii="Times New Roman" w:hAnsi="Times New Roman" w:eastAsia="楷体_GB2312"/>
          <w:b/>
          <w:color w:val="auto"/>
        </w:rPr>
      </w:pPr>
      <w:r>
        <w:rPr>
          <w:rFonts w:ascii="Times New Roman" w:hAnsi="Times New Roman" w:eastAsia="楷体_GB2312"/>
          <w:b/>
          <w:color w:val="auto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楷体_GB2312"/>
          <w:b/>
          <w:color w:val="auto"/>
        </w:rPr>
      </w:pPr>
      <w:r>
        <w:rPr>
          <w:rFonts w:ascii="Times New Roman" w:hAnsi="Times New Roman" w:eastAsia="楷体_GB2312"/>
          <w:b/>
          <w:color w:val="auto"/>
        </w:rPr>
        <w:t>附表4  课程结构体系及学分分配比例表</w:t>
      </w:r>
    </w:p>
    <w:tbl>
      <w:tblPr>
        <w:tblStyle w:val="13"/>
        <w:tblW w:w="92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6"/>
        <w:gridCol w:w="2268"/>
        <w:gridCol w:w="1560"/>
        <w:gridCol w:w="1984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  <w:jc w:val="center"/>
        </w:trPr>
        <w:tc>
          <w:tcPr>
            <w:tcW w:w="3964" w:type="dxa"/>
            <w:gridSpan w:val="2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 w:eastAsia="楷体_GB2312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bCs/>
                <w:color w:val="auto"/>
                <w:sz w:val="18"/>
                <w:szCs w:val="18"/>
              </w:rPr>
              <w:t>课程类别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 w:eastAsia="楷体_GB2312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bCs/>
                <w:color w:val="auto"/>
                <w:sz w:val="18"/>
                <w:szCs w:val="18"/>
              </w:rPr>
              <w:t>课程性质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 w:eastAsia="楷体_GB2312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bCs/>
                <w:color w:val="auto"/>
                <w:sz w:val="18"/>
                <w:szCs w:val="18"/>
              </w:rPr>
              <w:t>学分数</w:t>
            </w: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 w:eastAsia="楷体_GB2312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bCs/>
                <w:color w:val="auto"/>
                <w:sz w:val="18"/>
                <w:szCs w:val="18"/>
              </w:rPr>
              <w:t>学分比例（%）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通识教育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公共基础课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734" w:type="dxa"/>
            <w:vMerge w:val="restart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3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公共选修课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选修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34" w:type="dxa"/>
            <w:vMerge w:val="continue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专业教育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学科基础课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734" w:type="dxa"/>
            <w:vMerge w:val="restart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9.67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专业基础课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10.5</w:t>
            </w:r>
          </w:p>
        </w:tc>
        <w:tc>
          <w:tcPr>
            <w:tcW w:w="1734" w:type="dxa"/>
            <w:vMerge w:val="continue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专业核心课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25</w:t>
            </w:r>
          </w:p>
        </w:tc>
        <w:tc>
          <w:tcPr>
            <w:tcW w:w="1734" w:type="dxa"/>
            <w:vMerge w:val="continue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专业方向课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限选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9.5</w:t>
            </w:r>
          </w:p>
        </w:tc>
        <w:tc>
          <w:tcPr>
            <w:tcW w:w="1734" w:type="dxa"/>
            <w:vMerge w:val="continue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专业拓展课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任选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734" w:type="dxa"/>
            <w:vMerge w:val="continue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实践创新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实验（实训）课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34" w:type="dxa"/>
            <w:vMerge w:val="restart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18.54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选修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集中实践教学环节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734" w:type="dxa"/>
            <w:vMerge w:val="continue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选修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734" w:type="dxa"/>
            <w:vMerge w:val="continue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创新实践及第二课堂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选修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ascii="Times New Roman" w:hAnsi="Times New Roman"/>
                <w:color w:val="auto"/>
                <w:sz w:val="15"/>
                <w:szCs w:val="15"/>
              </w:rPr>
              <w:t>（第二课堂，只计学分，不计学时）</w:t>
            </w:r>
          </w:p>
        </w:tc>
        <w:tc>
          <w:tcPr>
            <w:tcW w:w="1734" w:type="dxa"/>
            <w:vMerge w:val="continue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5524" w:type="dxa"/>
            <w:gridSpan w:val="3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合计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151</w:t>
            </w:r>
          </w:p>
        </w:tc>
        <w:tc>
          <w:tcPr>
            <w:tcW w:w="1734" w:type="dxa"/>
            <w:vAlign w:val="top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1" w:hRule="atLeast"/>
          <w:jc w:val="center"/>
        </w:trPr>
        <w:tc>
          <w:tcPr>
            <w:tcW w:w="396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总学分及其分配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必修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12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auto"/>
                <w:sz w:val="18"/>
                <w:szCs w:val="18"/>
              </w:rPr>
              <w:t>.5</w:t>
            </w:r>
          </w:p>
        </w:tc>
        <w:tc>
          <w:tcPr>
            <w:tcW w:w="1734" w:type="dxa"/>
            <w:vAlign w:val="center"/>
          </w:tcPr>
          <w:p>
            <w:pPr>
              <w:spacing w:line="240" w:lineRule="exact"/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8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0.46</w:t>
            </w:r>
            <w:r>
              <w:rPr>
                <w:rFonts w:hint="eastAsia"/>
                <w:color w:val="auto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96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选修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29.5</w:t>
            </w: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1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9.54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96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理论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107（110）</w:t>
            </w: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7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0.86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%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72.85%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396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实践（实验）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hint="default" w:ascii="Times New Roman" w:hAnsi="Times New Roman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44（41）</w:t>
            </w:r>
          </w:p>
        </w:tc>
        <w:tc>
          <w:tcPr>
            <w:tcW w:w="1734" w:type="dxa"/>
            <w:vAlign w:val="center"/>
          </w:tcPr>
          <w:p>
            <w:pPr>
              <w:adjustRightInd w:val="0"/>
              <w:snapToGrid w:val="0"/>
              <w:spacing w:beforeLines="10" w:afterLines="10"/>
              <w:jc w:val="center"/>
              <w:rPr>
                <w:rFonts w:hint="eastAsia" w:ascii="Times New Roman" w:hAnsi="Times New Roman" w:eastAsia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2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9.14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</w:rPr>
              <w:t>%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val="en-US" w:eastAsia="zh-CN"/>
              </w:rPr>
              <w:t>27.15%</w:t>
            </w:r>
            <w:r>
              <w:rPr>
                <w:rFonts w:hint="eastAsia" w:ascii="Times New Roman" w:hAnsi="Times New Roman"/>
                <w:color w:val="auto"/>
                <w:sz w:val="18"/>
                <w:szCs w:val="18"/>
                <w:lang w:eastAsia="zh-CN"/>
              </w:rPr>
              <w:t>）</w:t>
            </w:r>
          </w:p>
        </w:tc>
      </w:tr>
    </w:tbl>
    <w:p>
      <w:pPr>
        <w:rPr>
          <w:color w:val="auto"/>
        </w:rPr>
      </w:pPr>
      <w:r>
        <w:rPr>
          <w:color w:val="auto"/>
          <w:sz w:val="18"/>
          <w:szCs w:val="18"/>
        </w:rPr>
        <w:t>备注：</w:t>
      </w:r>
      <w:r>
        <w:rPr>
          <w:rFonts w:hint="eastAsia"/>
          <w:color w:val="auto"/>
          <w:sz w:val="18"/>
          <w:szCs w:val="18"/>
          <w:lang w:val="en-US" w:eastAsia="zh-CN"/>
        </w:rPr>
        <w:t>总学分为151学分，</w:t>
      </w:r>
      <w:r>
        <w:rPr>
          <w:color w:val="auto"/>
          <w:sz w:val="18"/>
          <w:szCs w:val="18"/>
        </w:rPr>
        <w:t>课内总学时为</w:t>
      </w:r>
      <w:r>
        <w:rPr>
          <w:rFonts w:hint="eastAsia"/>
          <w:color w:val="auto"/>
          <w:sz w:val="18"/>
          <w:szCs w:val="18"/>
          <w:lang w:val="en-US" w:eastAsia="zh-CN"/>
        </w:rPr>
        <w:t>2240（2200）</w:t>
      </w:r>
      <w:r>
        <w:rPr>
          <w:rFonts w:hint="eastAsia"/>
          <w:color w:val="auto"/>
          <w:sz w:val="18"/>
          <w:szCs w:val="18"/>
        </w:rPr>
        <w:t>.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autoSpaceDE w:val="0"/>
        <w:autoSpaceDN w:val="0"/>
        <w:spacing w:after="156" w:afterLines="50"/>
        <w:jc w:val="center"/>
        <w:rPr>
          <w:rFonts w:eastAsia="楷体_GB2312"/>
          <w:b/>
          <w:bCs/>
          <w:color w:val="auto"/>
          <w:kern w:val="0"/>
          <w:sz w:val="22"/>
          <w:szCs w:val="22"/>
        </w:rPr>
      </w:pPr>
      <w:r>
        <w:rPr>
          <w:rFonts w:hint="eastAsia" w:eastAsia="楷体_GB2312"/>
          <w:b/>
          <w:bCs/>
          <w:color w:val="auto"/>
          <w:kern w:val="0"/>
          <w:sz w:val="22"/>
          <w:szCs w:val="22"/>
        </w:rPr>
        <w:t>附表5  课程设置与毕业要求支撑关系矩阵</w:t>
      </w:r>
    </w:p>
    <w:p>
      <w:pPr>
        <w:tabs>
          <w:tab w:val="left" w:pos="3195"/>
        </w:tabs>
        <w:autoSpaceDE w:val="0"/>
        <w:autoSpaceDN w:val="0"/>
        <w:jc w:val="left"/>
        <w:rPr>
          <w:b/>
          <w:bCs/>
          <w:color w:val="auto"/>
          <w:kern w:val="0"/>
          <w:sz w:val="22"/>
          <w:szCs w:val="22"/>
        </w:rPr>
      </w:pPr>
    </w:p>
    <w:tbl>
      <w:tblPr>
        <w:tblStyle w:val="14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1"/>
        <w:gridCol w:w="425"/>
        <w:gridCol w:w="424"/>
        <w:gridCol w:w="424"/>
        <w:gridCol w:w="424"/>
        <w:gridCol w:w="424"/>
        <w:gridCol w:w="425"/>
        <w:gridCol w:w="424"/>
        <w:gridCol w:w="417"/>
        <w:gridCol w:w="443"/>
        <w:gridCol w:w="435"/>
        <w:gridCol w:w="435"/>
        <w:gridCol w:w="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161" w:type="dxa"/>
            <w:tcBorders>
              <w:tl2br w:val="single" w:color="auto" w:sz="4" w:space="0"/>
            </w:tcBorders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</w:rPr>
              <w:t>毕业要求</w:t>
            </w:r>
          </w:p>
          <w:p>
            <w:pPr>
              <w:rPr>
                <w:rFonts w:ascii="楷体" w:hAnsi="楷体" w:eastAsia="楷体" w:cs="Times New Roman"/>
                <w:color w:val="auto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0"/>
                <w:szCs w:val="20"/>
              </w:rPr>
              <w:t>支撑课程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</w:rPr>
              <w:t>要求1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</w:rPr>
              <w:t>要求2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</w:rPr>
              <w:t>要求3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</w:rPr>
              <w:t>要求</w:t>
            </w:r>
            <w:r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</w:rPr>
              <w:t>要求</w:t>
            </w:r>
            <w:r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</w:rPr>
              <w:t>要求</w:t>
            </w:r>
            <w:r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</w:rPr>
              <w:t>要求</w:t>
            </w:r>
            <w:r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</w:rPr>
              <w:t>要求</w:t>
            </w:r>
            <w:r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</w:rPr>
              <w:t>要求</w:t>
            </w:r>
            <w:r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</w:rPr>
              <w:t>要求</w:t>
            </w:r>
            <w:r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</w:rPr>
              <w:t>要求</w:t>
            </w:r>
            <w:r>
              <w:rPr>
                <w:rFonts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</w:rPr>
              <w:t>要求</w:t>
            </w:r>
            <w:r>
              <w:rPr>
                <w:rFonts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</w:rPr>
              <w:t>1</w:t>
            </w:r>
            <w:r>
              <w:rPr>
                <w:rFonts w:hint="eastAsia" w:ascii="楷体" w:hAnsi="楷体" w:eastAsia="楷体" w:cs="Times New Roman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思想道德与法</w:t>
            </w: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治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M</w:t>
            </w:r>
          </w:p>
        </w:tc>
        <w:tc>
          <w:tcPr>
            <w:tcW w:w="41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H</w:t>
            </w:r>
          </w:p>
        </w:tc>
        <w:tc>
          <w:tcPr>
            <w:tcW w:w="443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M</w:t>
            </w:r>
          </w:p>
        </w:tc>
        <w:tc>
          <w:tcPr>
            <w:tcW w:w="443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H</w:t>
            </w:r>
          </w:p>
        </w:tc>
        <w:tc>
          <w:tcPr>
            <w:tcW w:w="4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H</w:t>
            </w:r>
          </w:p>
        </w:tc>
        <w:tc>
          <w:tcPr>
            <w:tcW w:w="443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M</w:t>
            </w:r>
          </w:p>
        </w:tc>
        <w:tc>
          <w:tcPr>
            <w:tcW w:w="4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H</w:t>
            </w:r>
          </w:p>
        </w:tc>
        <w:tc>
          <w:tcPr>
            <w:tcW w:w="443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M</w:t>
            </w:r>
          </w:p>
        </w:tc>
        <w:tc>
          <w:tcPr>
            <w:tcW w:w="4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H</w:t>
            </w:r>
          </w:p>
        </w:tc>
        <w:tc>
          <w:tcPr>
            <w:tcW w:w="443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M</w:t>
            </w:r>
          </w:p>
        </w:tc>
        <w:tc>
          <w:tcPr>
            <w:tcW w:w="4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M</w:t>
            </w:r>
          </w:p>
        </w:tc>
        <w:tc>
          <w:tcPr>
            <w:tcW w:w="443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大学英语视听说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bottom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bottom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H</w:t>
            </w:r>
          </w:p>
        </w:tc>
        <w:tc>
          <w:tcPr>
            <w:tcW w:w="435" w:type="dxa"/>
            <w:vAlign w:val="bottom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bottom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大学英语读写译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bottom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bottom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H</w:t>
            </w:r>
          </w:p>
        </w:tc>
        <w:tc>
          <w:tcPr>
            <w:tcW w:w="435" w:type="dxa"/>
            <w:vAlign w:val="bottom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bottom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adjustRightInd w:val="0"/>
              <w:snapToGrid w:val="0"/>
              <w:spacing w:before="31" w:beforeLines="10" w:after="31" w:afterLines="10"/>
              <w:ind w:left="31" w:leftChars="15" w:right="31" w:rightChars="15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瓷言茶语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bottom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bottom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H</w:t>
            </w:r>
          </w:p>
        </w:tc>
        <w:tc>
          <w:tcPr>
            <w:tcW w:w="435" w:type="dxa"/>
            <w:vAlign w:val="bottom"/>
          </w:tcPr>
          <w:p>
            <w:pPr>
              <w:jc w:val="both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bottom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大学体育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国家安全与军事理论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M</w:t>
            </w:r>
          </w:p>
        </w:tc>
        <w:tc>
          <w:tcPr>
            <w:tcW w:w="443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军事技能训练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bottom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bottom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H</w:t>
            </w:r>
          </w:p>
        </w:tc>
        <w:tc>
          <w:tcPr>
            <w:tcW w:w="435" w:type="dxa"/>
            <w:vAlign w:val="bottom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bottom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bottom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大学语文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31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大学生心理健康教育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M</w:t>
            </w:r>
          </w:p>
        </w:tc>
        <w:tc>
          <w:tcPr>
            <w:tcW w:w="443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L</w:t>
            </w: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highlight w:val="yellow"/>
              </w:rPr>
              <w:t>劳动教育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bottom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L</w:t>
            </w:r>
          </w:p>
        </w:tc>
        <w:tc>
          <w:tcPr>
            <w:tcW w:w="4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H</w:t>
            </w:r>
          </w:p>
        </w:tc>
        <w:tc>
          <w:tcPr>
            <w:tcW w:w="443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H</w:t>
            </w: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bottom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  <w:highlight w:val="yellow"/>
              </w:rPr>
              <w:t>大学生创新创业教育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bottom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bottom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M</w:t>
            </w:r>
          </w:p>
        </w:tc>
        <w:tc>
          <w:tcPr>
            <w:tcW w:w="417" w:type="dxa"/>
            <w:vAlign w:val="bottom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H</w:t>
            </w:r>
          </w:p>
        </w:tc>
        <w:tc>
          <w:tcPr>
            <w:tcW w:w="443" w:type="dxa"/>
            <w:vAlign w:val="bottom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35" w:type="dxa"/>
            <w:vAlign w:val="bottom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bottom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M</w:t>
            </w:r>
          </w:p>
        </w:tc>
        <w:tc>
          <w:tcPr>
            <w:tcW w:w="530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职业生涯规划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M</w:t>
            </w:r>
          </w:p>
        </w:tc>
        <w:tc>
          <w:tcPr>
            <w:tcW w:w="443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530" w:type="dxa"/>
            <w:vAlign w:val="bottom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  <w:lang w:val="en-US" w:eastAsia="zh-CN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就业创业指导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M</w:t>
            </w:r>
          </w:p>
        </w:tc>
        <w:tc>
          <w:tcPr>
            <w:tcW w:w="417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M</w:t>
            </w:r>
          </w:p>
        </w:tc>
        <w:tc>
          <w:tcPr>
            <w:tcW w:w="443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530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人文素养系列课程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H</w:t>
            </w:r>
          </w:p>
        </w:tc>
        <w:tc>
          <w:tcPr>
            <w:tcW w:w="443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M</w:t>
            </w: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科学素养系列课程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H</w:t>
            </w:r>
          </w:p>
        </w:tc>
        <w:tc>
          <w:tcPr>
            <w:tcW w:w="443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艺术素养系列课程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H</w:t>
            </w:r>
          </w:p>
        </w:tc>
        <w:tc>
          <w:tcPr>
            <w:tcW w:w="443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 w:line="240" w:lineRule="exact"/>
              <w:ind w:left="31" w:leftChars="15" w:right="31" w:rightChars="15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健康生活系列课程</w:t>
            </w: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H</w:t>
            </w:r>
          </w:p>
        </w:tc>
        <w:tc>
          <w:tcPr>
            <w:tcW w:w="443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  <w:lang w:val="en-US" w:eastAsia="zh-CN"/>
              </w:rPr>
              <w:t>数学分析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高等代数</w:t>
            </w: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  <w:lang w:val="en-US" w:eastAsia="zh-CN"/>
              </w:rPr>
              <w:t>与解析几何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概率论与数理统计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数据库原理及应用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bCs/>
                <w:color w:val="auto"/>
                <w:kern w:val="0"/>
                <w:sz w:val="22"/>
                <w:szCs w:val="22"/>
              </w:rPr>
              <w:t>H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Python语言设计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R语言及其应用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统计计算与应用软件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统计学导论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数据挖掘与分析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H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应用时间序列分析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抽样调查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应用多元统计分析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应用回归分析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分布式数据库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数学模型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both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数据清洗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大数据可视化分析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微观经济学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宏观经济学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  <w:lang w:val="en-US" w:eastAsia="zh-CN"/>
              </w:rPr>
              <w:t>大数据实务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  <w:lang w:val="en-US" w:eastAsia="zh-CN"/>
              </w:rPr>
              <w:t>国民经济统计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投资与决策分析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L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sz w:val="18"/>
                <w:szCs w:val="18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  <w:lang w:val="en-US" w:eastAsia="zh-CN"/>
              </w:rPr>
              <w:t>大数据技术概论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数据采集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试验设计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数据</w:t>
            </w: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  <w:lang w:val="en-US" w:eastAsia="zh-CN"/>
              </w:rPr>
              <w:t>结构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  <w:lang w:val="en-US" w:eastAsia="zh-CN"/>
              </w:rPr>
              <w:t>证券投资分析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非参数统计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运筹学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Calibri" w:hAnsi="Calibri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18"/>
                <w:szCs w:val="18"/>
                <w:lang w:val="en-US" w:eastAsia="zh-CN"/>
              </w:rPr>
              <w:t>文献检索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L</w:t>
            </w:r>
          </w:p>
        </w:tc>
        <w:tc>
          <w:tcPr>
            <w:tcW w:w="530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毕业设计（论文）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530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毕业实习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H</w:t>
            </w:r>
          </w:p>
        </w:tc>
        <w:tc>
          <w:tcPr>
            <w:tcW w:w="530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sz w:val="18"/>
                <w:szCs w:val="18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top"/>
          </w:tcPr>
          <w:p>
            <w:pPr>
              <w:autoSpaceDE w:val="0"/>
              <w:autoSpaceDN w:val="0"/>
              <w:adjustRightInd w:val="0"/>
              <w:snapToGrid w:val="0"/>
              <w:spacing w:before="31" w:beforeLines="10" w:after="31" w:afterLines="10"/>
              <w:jc w:val="center"/>
              <w:rPr>
                <w:rFonts w:hint="default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  <w:lang w:val="en-US" w:eastAsia="zh-CN"/>
              </w:rPr>
              <w:t>集中实践教学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H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1" w:type="dxa"/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18"/>
                <w:szCs w:val="18"/>
              </w:rPr>
              <w:t>创新实践及第二课堂</w:t>
            </w: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Calibri" w:hAnsi="Calibri" w:eastAsia="宋体" w:cs="Times New Roman"/>
                <w:color w:val="auto"/>
                <w:kern w:val="0"/>
                <w:sz w:val="18"/>
                <w:szCs w:val="18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4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7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  <w:tc>
          <w:tcPr>
            <w:tcW w:w="443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5" w:type="dxa"/>
            <w:vAlign w:val="top"/>
          </w:tcPr>
          <w:p>
            <w:pPr>
              <w:tabs>
                <w:tab w:val="left" w:pos="3195"/>
              </w:tabs>
              <w:autoSpaceDE w:val="0"/>
              <w:autoSpaceDN w:val="0"/>
              <w:jc w:val="center"/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0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M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jc w:val="left"/>
        <w:rPr>
          <w:color w:val="auto"/>
        </w:rPr>
      </w:pPr>
      <w:r>
        <w:rPr>
          <w:rFonts w:hint="eastAsia"/>
          <w:color w:val="auto"/>
          <w:kern w:val="0"/>
          <w:sz w:val="18"/>
          <w:szCs w:val="18"/>
        </w:rPr>
        <w:t>注：工程类、师范类等认证专业可按照认证要求编制培养目标实现矩阵，H、M、L 分别对应支撑强度高、中、低。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90545444">
    <w:nsid w:val="5ECDCC24"/>
    <w:multiLevelType w:val="singleLevel"/>
    <w:tmpl w:val="5ECDCC24"/>
    <w:lvl w:ilvl="0" w:tentative="1">
      <w:start w:val="2"/>
      <w:numFmt w:val="chineseCounting"/>
      <w:suff w:val="nothing"/>
      <w:lvlText w:val="%1、"/>
      <w:lvlJc w:val="left"/>
    </w:lvl>
  </w:abstractNum>
  <w:num w:numId="1">
    <w:abstractNumId w:val="15905454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NjkyYjQyYzQ1YjM0ZTQzZTk0YTdlOGEyZmNiYjQ1ZjAifQ=="/>
  </w:docVars>
  <w:rsids>
    <w:rsidRoot w:val="001E0794"/>
    <w:rsid w:val="000213C7"/>
    <w:rsid w:val="0004618B"/>
    <w:rsid w:val="00055790"/>
    <w:rsid w:val="0005616D"/>
    <w:rsid w:val="00057F4E"/>
    <w:rsid w:val="000626C4"/>
    <w:rsid w:val="0006632D"/>
    <w:rsid w:val="00066543"/>
    <w:rsid w:val="000743C3"/>
    <w:rsid w:val="000771D0"/>
    <w:rsid w:val="000812AF"/>
    <w:rsid w:val="00092295"/>
    <w:rsid w:val="000A504F"/>
    <w:rsid w:val="000B0A5A"/>
    <w:rsid w:val="000B6E60"/>
    <w:rsid w:val="000C3C92"/>
    <w:rsid w:val="000C4AF5"/>
    <w:rsid w:val="000C7C20"/>
    <w:rsid w:val="000F686D"/>
    <w:rsid w:val="001017F4"/>
    <w:rsid w:val="0011520F"/>
    <w:rsid w:val="00136F95"/>
    <w:rsid w:val="001408E6"/>
    <w:rsid w:val="00140FA4"/>
    <w:rsid w:val="00152A35"/>
    <w:rsid w:val="001864F1"/>
    <w:rsid w:val="00192A62"/>
    <w:rsid w:val="001B3E82"/>
    <w:rsid w:val="001E0794"/>
    <w:rsid w:val="001F3DF1"/>
    <w:rsid w:val="00212408"/>
    <w:rsid w:val="00241DC0"/>
    <w:rsid w:val="0027126B"/>
    <w:rsid w:val="00274904"/>
    <w:rsid w:val="00291716"/>
    <w:rsid w:val="002A16E4"/>
    <w:rsid w:val="002A6837"/>
    <w:rsid w:val="002C0417"/>
    <w:rsid w:val="002C22DF"/>
    <w:rsid w:val="002D3094"/>
    <w:rsid w:val="002D3FCF"/>
    <w:rsid w:val="002D42D8"/>
    <w:rsid w:val="002E7729"/>
    <w:rsid w:val="002E7F5A"/>
    <w:rsid w:val="003001B6"/>
    <w:rsid w:val="00304560"/>
    <w:rsid w:val="0031017C"/>
    <w:rsid w:val="0031467D"/>
    <w:rsid w:val="00335F41"/>
    <w:rsid w:val="0035152F"/>
    <w:rsid w:val="00393D68"/>
    <w:rsid w:val="003C25CE"/>
    <w:rsid w:val="003D61E2"/>
    <w:rsid w:val="003E0B30"/>
    <w:rsid w:val="004142C9"/>
    <w:rsid w:val="00427438"/>
    <w:rsid w:val="004314CF"/>
    <w:rsid w:val="00440A6E"/>
    <w:rsid w:val="004457FB"/>
    <w:rsid w:val="00446A5C"/>
    <w:rsid w:val="00457889"/>
    <w:rsid w:val="00485376"/>
    <w:rsid w:val="00490BD5"/>
    <w:rsid w:val="004B34D5"/>
    <w:rsid w:val="004D0C28"/>
    <w:rsid w:val="004D3C0F"/>
    <w:rsid w:val="004E16EE"/>
    <w:rsid w:val="004E5086"/>
    <w:rsid w:val="004E5E22"/>
    <w:rsid w:val="00513775"/>
    <w:rsid w:val="0052293F"/>
    <w:rsid w:val="005248A0"/>
    <w:rsid w:val="00524D65"/>
    <w:rsid w:val="0054790C"/>
    <w:rsid w:val="00550E5B"/>
    <w:rsid w:val="00551849"/>
    <w:rsid w:val="00572C30"/>
    <w:rsid w:val="00573DCE"/>
    <w:rsid w:val="00580EBC"/>
    <w:rsid w:val="00594569"/>
    <w:rsid w:val="005B7AAB"/>
    <w:rsid w:val="005F1BC5"/>
    <w:rsid w:val="005F4EA7"/>
    <w:rsid w:val="005F5D59"/>
    <w:rsid w:val="006410B4"/>
    <w:rsid w:val="00647EE0"/>
    <w:rsid w:val="006513CF"/>
    <w:rsid w:val="00656009"/>
    <w:rsid w:val="0066313D"/>
    <w:rsid w:val="00664B89"/>
    <w:rsid w:val="00686F13"/>
    <w:rsid w:val="006900DA"/>
    <w:rsid w:val="006A6F31"/>
    <w:rsid w:val="006B3CB1"/>
    <w:rsid w:val="006B49BA"/>
    <w:rsid w:val="006C10C9"/>
    <w:rsid w:val="006C14DD"/>
    <w:rsid w:val="006C1FC6"/>
    <w:rsid w:val="006C680A"/>
    <w:rsid w:val="006D24EE"/>
    <w:rsid w:val="006D2E0E"/>
    <w:rsid w:val="006F0154"/>
    <w:rsid w:val="006F6602"/>
    <w:rsid w:val="007153B9"/>
    <w:rsid w:val="00726EA4"/>
    <w:rsid w:val="007336A0"/>
    <w:rsid w:val="007372D2"/>
    <w:rsid w:val="00742952"/>
    <w:rsid w:val="0074464F"/>
    <w:rsid w:val="00754728"/>
    <w:rsid w:val="00757744"/>
    <w:rsid w:val="00762593"/>
    <w:rsid w:val="00775171"/>
    <w:rsid w:val="00777797"/>
    <w:rsid w:val="00783529"/>
    <w:rsid w:val="00785B98"/>
    <w:rsid w:val="00795F9B"/>
    <w:rsid w:val="007A7E06"/>
    <w:rsid w:val="007B3A9A"/>
    <w:rsid w:val="007C71CC"/>
    <w:rsid w:val="007E297E"/>
    <w:rsid w:val="007E3847"/>
    <w:rsid w:val="007F4C40"/>
    <w:rsid w:val="00800CB7"/>
    <w:rsid w:val="00814545"/>
    <w:rsid w:val="008370B4"/>
    <w:rsid w:val="0086062F"/>
    <w:rsid w:val="0087107E"/>
    <w:rsid w:val="00871B4C"/>
    <w:rsid w:val="00875AFF"/>
    <w:rsid w:val="00877B2C"/>
    <w:rsid w:val="008D0E10"/>
    <w:rsid w:val="008E0457"/>
    <w:rsid w:val="008E2975"/>
    <w:rsid w:val="008E2BE6"/>
    <w:rsid w:val="00916FCD"/>
    <w:rsid w:val="00924495"/>
    <w:rsid w:val="009315EE"/>
    <w:rsid w:val="009325C6"/>
    <w:rsid w:val="00937AEA"/>
    <w:rsid w:val="00943D76"/>
    <w:rsid w:val="00944A36"/>
    <w:rsid w:val="009550C0"/>
    <w:rsid w:val="00960C03"/>
    <w:rsid w:val="0096188C"/>
    <w:rsid w:val="0096694D"/>
    <w:rsid w:val="00967E49"/>
    <w:rsid w:val="0097461F"/>
    <w:rsid w:val="00986656"/>
    <w:rsid w:val="00990921"/>
    <w:rsid w:val="009A5BC2"/>
    <w:rsid w:val="009A5FDC"/>
    <w:rsid w:val="009B0962"/>
    <w:rsid w:val="009C7B09"/>
    <w:rsid w:val="009D77B5"/>
    <w:rsid w:val="009F2A7D"/>
    <w:rsid w:val="00A050C3"/>
    <w:rsid w:val="00A065AA"/>
    <w:rsid w:val="00A4211F"/>
    <w:rsid w:val="00A54084"/>
    <w:rsid w:val="00A54A4F"/>
    <w:rsid w:val="00A907EA"/>
    <w:rsid w:val="00A91069"/>
    <w:rsid w:val="00AA1E0F"/>
    <w:rsid w:val="00AB16CE"/>
    <w:rsid w:val="00AC0F07"/>
    <w:rsid w:val="00AD31F7"/>
    <w:rsid w:val="00AE53FE"/>
    <w:rsid w:val="00AF02DC"/>
    <w:rsid w:val="00B0425E"/>
    <w:rsid w:val="00B10A46"/>
    <w:rsid w:val="00B1303F"/>
    <w:rsid w:val="00B2065D"/>
    <w:rsid w:val="00B24635"/>
    <w:rsid w:val="00B40288"/>
    <w:rsid w:val="00B4383C"/>
    <w:rsid w:val="00B80CAF"/>
    <w:rsid w:val="00B84C10"/>
    <w:rsid w:val="00B92E3B"/>
    <w:rsid w:val="00B9509A"/>
    <w:rsid w:val="00BB127F"/>
    <w:rsid w:val="00BB6841"/>
    <w:rsid w:val="00BC40E9"/>
    <w:rsid w:val="00BC58A6"/>
    <w:rsid w:val="00BD0DAE"/>
    <w:rsid w:val="00BD44ED"/>
    <w:rsid w:val="00C028D5"/>
    <w:rsid w:val="00C36780"/>
    <w:rsid w:val="00C63B59"/>
    <w:rsid w:val="00C63E5C"/>
    <w:rsid w:val="00C7602D"/>
    <w:rsid w:val="00C805BF"/>
    <w:rsid w:val="00C941CD"/>
    <w:rsid w:val="00CC04A6"/>
    <w:rsid w:val="00CD5D03"/>
    <w:rsid w:val="00CD6132"/>
    <w:rsid w:val="00CE6C43"/>
    <w:rsid w:val="00D06B2D"/>
    <w:rsid w:val="00D1380C"/>
    <w:rsid w:val="00D17126"/>
    <w:rsid w:val="00D30877"/>
    <w:rsid w:val="00D524E1"/>
    <w:rsid w:val="00D571FD"/>
    <w:rsid w:val="00D61E57"/>
    <w:rsid w:val="00D70B09"/>
    <w:rsid w:val="00D816F1"/>
    <w:rsid w:val="00D823A0"/>
    <w:rsid w:val="00DB173E"/>
    <w:rsid w:val="00DB1E1C"/>
    <w:rsid w:val="00DC7E79"/>
    <w:rsid w:val="00DE090B"/>
    <w:rsid w:val="00DE349C"/>
    <w:rsid w:val="00DF5BD5"/>
    <w:rsid w:val="00E070A9"/>
    <w:rsid w:val="00ED03D7"/>
    <w:rsid w:val="00ED7234"/>
    <w:rsid w:val="00EE0FCF"/>
    <w:rsid w:val="00EE201C"/>
    <w:rsid w:val="00F00C7A"/>
    <w:rsid w:val="00F06420"/>
    <w:rsid w:val="00F16055"/>
    <w:rsid w:val="00F21BB0"/>
    <w:rsid w:val="00F45602"/>
    <w:rsid w:val="00F855EA"/>
    <w:rsid w:val="00F9006D"/>
    <w:rsid w:val="00F97CD3"/>
    <w:rsid w:val="00FA5199"/>
    <w:rsid w:val="00FB03C9"/>
    <w:rsid w:val="00FB3897"/>
    <w:rsid w:val="00FB40BE"/>
    <w:rsid w:val="00FC649C"/>
    <w:rsid w:val="013056A4"/>
    <w:rsid w:val="01EB45BC"/>
    <w:rsid w:val="0401726F"/>
    <w:rsid w:val="05F67F9F"/>
    <w:rsid w:val="0711451E"/>
    <w:rsid w:val="09D90A39"/>
    <w:rsid w:val="0AC05EBA"/>
    <w:rsid w:val="0B0647B1"/>
    <w:rsid w:val="0BA0781C"/>
    <w:rsid w:val="0BD42465"/>
    <w:rsid w:val="0C187DA9"/>
    <w:rsid w:val="0C253894"/>
    <w:rsid w:val="0C941DF7"/>
    <w:rsid w:val="0D05116E"/>
    <w:rsid w:val="0D5521B4"/>
    <w:rsid w:val="0D564677"/>
    <w:rsid w:val="0D5E514B"/>
    <w:rsid w:val="0DC46CAE"/>
    <w:rsid w:val="0E1051AC"/>
    <w:rsid w:val="0E925DBF"/>
    <w:rsid w:val="0EB3626A"/>
    <w:rsid w:val="0EE273A0"/>
    <w:rsid w:val="0F2A5FF8"/>
    <w:rsid w:val="0FB1307A"/>
    <w:rsid w:val="0FEF171B"/>
    <w:rsid w:val="10E02E12"/>
    <w:rsid w:val="11385454"/>
    <w:rsid w:val="1195343D"/>
    <w:rsid w:val="12D4153E"/>
    <w:rsid w:val="134E630E"/>
    <w:rsid w:val="13682D04"/>
    <w:rsid w:val="14C845F4"/>
    <w:rsid w:val="14D033C0"/>
    <w:rsid w:val="151201F0"/>
    <w:rsid w:val="15A577C4"/>
    <w:rsid w:val="15C9483E"/>
    <w:rsid w:val="15F61E73"/>
    <w:rsid w:val="162E0AC3"/>
    <w:rsid w:val="169A0A69"/>
    <w:rsid w:val="169E67E3"/>
    <w:rsid w:val="16E56387"/>
    <w:rsid w:val="17045380"/>
    <w:rsid w:val="19761C51"/>
    <w:rsid w:val="19CF2AF5"/>
    <w:rsid w:val="1A100CB2"/>
    <w:rsid w:val="1A9D7FC6"/>
    <w:rsid w:val="1B656D35"/>
    <w:rsid w:val="1C8905B2"/>
    <w:rsid w:val="1CDA0C1B"/>
    <w:rsid w:val="1D440BCC"/>
    <w:rsid w:val="1ECD05FA"/>
    <w:rsid w:val="20531677"/>
    <w:rsid w:val="20B07AFC"/>
    <w:rsid w:val="20CC70A5"/>
    <w:rsid w:val="21222FD3"/>
    <w:rsid w:val="23DA2AF1"/>
    <w:rsid w:val="25916979"/>
    <w:rsid w:val="25B51B2E"/>
    <w:rsid w:val="27B6031E"/>
    <w:rsid w:val="28E31299"/>
    <w:rsid w:val="29621553"/>
    <w:rsid w:val="299F65B4"/>
    <w:rsid w:val="2BAF6ED8"/>
    <w:rsid w:val="2C004D5A"/>
    <w:rsid w:val="2CC2473C"/>
    <w:rsid w:val="2E42126A"/>
    <w:rsid w:val="2EC16280"/>
    <w:rsid w:val="2F522665"/>
    <w:rsid w:val="301B2419"/>
    <w:rsid w:val="301F52AD"/>
    <w:rsid w:val="307C26FF"/>
    <w:rsid w:val="308B7DEE"/>
    <w:rsid w:val="31742FA0"/>
    <w:rsid w:val="31BE4FA3"/>
    <w:rsid w:val="320B195D"/>
    <w:rsid w:val="329A3940"/>
    <w:rsid w:val="32BA1864"/>
    <w:rsid w:val="32FA71C7"/>
    <w:rsid w:val="34176CC7"/>
    <w:rsid w:val="35246EC1"/>
    <w:rsid w:val="355E2DB7"/>
    <w:rsid w:val="36127662"/>
    <w:rsid w:val="36160DD1"/>
    <w:rsid w:val="37B93079"/>
    <w:rsid w:val="38233894"/>
    <w:rsid w:val="38325D99"/>
    <w:rsid w:val="3BC91BD6"/>
    <w:rsid w:val="3BFC2B73"/>
    <w:rsid w:val="3ED0742A"/>
    <w:rsid w:val="401F09B1"/>
    <w:rsid w:val="410800D7"/>
    <w:rsid w:val="42AC41EC"/>
    <w:rsid w:val="436E7AA2"/>
    <w:rsid w:val="43716659"/>
    <w:rsid w:val="44975173"/>
    <w:rsid w:val="457479F1"/>
    <w:rsid w:val="46E9027D"/>
    <w:rsid w:val="46EB3CE3"/>
    <w:rsid w:val="471E1235"/>
    <w:rsid w:val="4AFA5D38"/>
    <w:rsid w:val="4C724458"/>
    <w:rsid w:val="4C8D4E52"/>
    <w:rsid w:val="4D5E02D9"/>
    <w:rsid w:val="4D9B1ED2"/>
    <w:rsid w:val="4E360628"/>
    <w:rsid w:val="4EAD08AD"/>
    <w:rsid w:val="4FE6703D"/>
    <w:rsid w:val="52672739"/>
    <w:rsid w:val="52786DF9"/>
    <w:rsid w:val="52A80B3D"/>
    <w:rsid w:val="555D35C8"/>
    <w:rsid w:val="5563713A"/>
    <w:rsid w:val="55763794"/>
    <w:rsid w:val="562E3A5B"/>
    <w:rsid w:val="56FF2D86"/>
    <w:rsid w:val="57D17404"/>
    <w:rsid w:val="58B101BD"/>
    <w:rsid w:val="591075D9"/>
    <w:rsid w:val="59C70EF6"/>
    <w:rsid w:val="5AED1980"/>
    <w:rsid w:val="5B314713"/>
    <w:rsid w:val="5C5701B0"/>
    <w:rsid w:val="5DEA360F"/>
    <w:rsid w:val="5E163825"/>
    <w:rsid w:val="5EDD208F"/>
    <w:rsid w:val="5FDB6EF9"/>
    <w:rsid w:val="6031591C"/>
    <w:rsid w:val="604B4C22"/>
    <w:rsid w:val="606F0F94"/>
    <w:rsid w:val="616270A2"/>
    <w:rsid w:val="61DD5DF9"/>
    <w:rsid w:val="61F4321F"/>
    <w:rsid w:val="62127198"/>
    <w:rsid w:val="63174B61"/>
    <w:rsid w:val="636C7B02"/>
    <w:rsid w:val="64122D58"/>
    <w:rsid w:val="64F32289"/>
    <w:rsid w:val="658A3D3C"/>
    <w:rsid w:val="65A67056"/>
    <w:rsid w:val="67B535A8"/>
    <w:rsid w:val="692F1147"/>
    <w:rsid w:val="69FC0100"/>
    <w:rsid w:val="6A2F7E94"/>
    <w:rsid w:val="6A907622"/>
    <w:rsid w:val="6ABE6E95"/>
    <w:rsid w:val="6B0E066F"/>
    <w:rsid w:val="6C18116F"/>
    <w:rsid w:val="6C9C4FB4"/>
    <w:rsid w:val="6DFB77BE"/>
    <w:rsid w:val="6E1C2C5C"/>
    <w:rsid w:val="6E454A70"/>
    <w:rsid w:val="6F354B95"/>
    <w:rsid w:val="6FE2475E"/>
    <w:rsid w:val="703D221B"/>
    <w:rsid w:val="727F582F"/>
    <w:rsid w:val="728F40A2"/>
    <w:rsid w:val="729B5104"/>
    <w:rsid w:val="73280209"/>
    <w:rsid w:val="74B825D9"/>
    <w:rsid w:val="75E11943"/>
    <w:rsid w:val="7750171D"/>
    <w:rsid w:val="775E78E1"/>
    <w:rsid w:val="798D4602"/>
    <w:rsid w:val="7ABE6A3D"/>
    <w:rsid w:val="7AD263D0"/>
    <w:rsid w:val="7B312FF1"/>
    <w:rsid w:val="7C6F6241"/>
    <w:rsid w:val="7D283F55"/>
    <w:rsid w:val="7D596ED2"/>
    <w:rsid w:val="7DF02556"/>
    <w:rsid w:val="7E3173C2"/>
    <w:rsid w:val="7E3F39F1"/>
    <w:rsid w:val="7F1C3D32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autoSpaceDE w:val="0"/>
      <w:jc w:val="center"/>
      <w:outlineLvl w:val="0"/>
    </w:pPr>
    <w:rPr>
      <w:rFonts w:ascii="宋体" w:hAnsi="宋体" w:eastAsia="黑体"/>
      <w:b/>
      <w:bCs/>
      <w:kern w:val="44"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annotation text"/>
    <w:basedOn w:val="1"/>
    <w:link w:val="18"/>
    <w:qFormat/>
    <w:uiPriority w:val="0"/>
    <w:pPr>
      <w:jc w:val="left"/>
    </w:pPr>
  </w:style>
  <w:style w:type="paragraph" w:styleId="4">
    <w:name w:val="Balloon Text"/>
    <w:basedOn w:val="1"/>
    <w:link w:val="19"/>
    <w:qFormat/>
    <w:uiPriority w:val="0"/>
    <w:rPr>
      <w:sz w:val="18"/>
      <w:szCs w:val="18"/>
    </w:rPr>
  </w:style>
  <w:style w:type="paragraph" w:styleId="5">
    <w:name w:val="footer"/>
    <w:basedOn w:val="1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 w:line="360" w:lineRule="auto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000000"/>
      <w:u w:val="none"/>
    </w:rPr>
  </w:style>
  <w:style w:type="character" w:styleId="11">
    <w:name w:val="Hyperlink"/>
    <w:basedOn w:val="8"/>
    <w:qFormat/>
    <w:uiPriority w:val="0"/>
    <w:rPr>
      <w:color w:val="000000"/>
      <w:u w:val="none"/>
    </w:rPr>
  </w:style>
  <w:style w:type="character" w:styleId="12">
    <w:name w:val="annotation reference"/>
    <w:basedOn w:val="8"/>
    <w:unhideWhenUsed/>
    <w:qFormat/>
    <w:uiPriority w:val="99"/>
    <w:rPr>
      <w:sz w:val="21"/>
      <w:szCs w:val="21"/>
    </w:rPr>
  </w:style>
  <w:style w:type="table" w:styleId="14">
    <w:name w:val="Table Grid"/>
    <w:basedOn w:val="13"/>
    <w:qFormat/>
    <w:uiPriority w:val="0"/>
    <w:pPr/>
    <w:rPr>
      <w:rFonts w:ascii="Calibri" w:hAnsi="Calibri" w:eastAsia="宋体" w:cs="Times New Roman"/>
    </w:r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5">
    <w:name w:val="Pa25"/>
    <w:basedOn w:val="1"/>
    <w:next w:val="1"/>
    <w:qFormat/>
    <w:uiPriority w:val="0"/>
    <w:pPr>
      <w:autoSpaceDE w:val="0"/>
      <w:autoSpaceDN w:val="0"/>
      <w:adjustRightInd w:val="0"/>
      <w:spacing w:line="161" w:lineRule="atLeast"/>
      <w:jc w:val="left"/>
    </w:pPr>
    <w:rPr>
      <w:rFonts w:ascii="Times New Roman" w:hAnsi="Times New Roman"/>
      <w:kern w:val="0"/>
      <w:sz w:val="24"/>
    </w:rPr>
  </w:style>
  <w:style w:type="character" w:customStyle="1" w:styleId="16">
    <w:name w:val="页眉 Char"/>
    <w:basedOn w:val="8"/>
    <w:link w:val="6"/>
    <w:qFormat/>
    <w:uiPriority w:val="0"/>
    <w:rPr>
      <w:sz w:val="18"/>
      <w:szCs w:val="18"/>
    </w:rPr>
  </w:style>
  <w:style w:type="character" w:customStyle="1" w:styleId="17">
    <w:name w:val="页脚 Char"/>
    <w:basedOn w:val="8"/>
    <w:link w:val="5"/>
    <w:qFormat/>
    <w:uiPriority w:val="0"/>
    <w:rPr>
      <w:sz w:val="18"/>
      <w:szCs w:val="18"/>
    </w:rPr>
  </w:style>
  <w:style w:type="character" w:customStyle="1" w:styleId="18">
    <w:name w:val="批注文字 Char"/>
    <w:basedOn w:val="8"/>
    <w:link w:val="3"/>
    <w:qFormat/>
    <w:uiPriority w:val="0"/>
    <w:rPr>
      <w:rFonts w:ascii="Calibri" w:hAnsi="Calibri" w:eastAsia="宋体" w:cs="Times New Roman"/>
      <w:szCs w:val="24"/>
    </w:rPr>
  </w:style>
  <w:style w:type="character" w:customStyle="1" w:styleId="19">
    <w:name w:val="批注框文本 Char"/>
    <w:basedOn w:val="8"/>
    <w:link w:val="4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0">
    <w:name w:val="标题 1 字符"/>
    <w:basedOn w:val="8"/>
    <w:link w:val="2"/>
    <w:qFormat/>
    <w:uiPriority w:val="9"/>
    <w:rPr>
      <w:rFonts w:ascii="宋体" w:hAnsi="宋体" w:eastAsia="黑体"/>
      <w:b/>
      <w:bCs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4655</Words>
  <Characters>5393</Characters>
  <Lines>45</Lines>
  <Paragraphs>12</Paragraphs>
  <ScaleCrop>false</ScaleCrop>
  <LinksUpToDate>false</LinksUpToDate>
  <CharactersWithSpaces>0</CharactersWithSpaces>
  <Application>WPS Office 个人版_9.1.0.4902_{F1E327BC-269C-435d-A152-05C5408002CA}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2022-07-03T08:04:00Z</dcterms:created>
  <dc:creator>lenovo</dc:creator>
  <cp:lastModifiedBy>Administrator</cp:lastModifiedBy>
  <cp:lastPrinted>2021-05-31T07:56:00Z</cp:lastPrinted>
  <dcterms:modified xsi:type="dcterms:W3CDTF">2024-06-12T01:52:38Z</dcterms:modified>
  <dc:title>应用统计学专业人才培养方案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2052-9.1.0.4902</vt:lpwstr>
  </property>
  <property fmtid="{D5CDD505-2E9C-101B-9397-08002B2CF9AE}" pid="3" name="ICV">
    <vt:lpwstr>EE3DC36D4F2F4AAC92149A5A36ED5AF2_13</vt:lpwstr>
  </property>
</Properties>
</file>